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2C215">
      <w:pPr>
        <w:spacing w:line="360" w:lineRule="auto"/>
        <w:rPr>
          <w:rFonts w:hint="eastAsia" w:ascii="宋体" w:hAnsi="宋体" w:eastAsia="宋体" w:cs="宋体"/>
          <w:sz w:val="24"/>
          <w:szCs w:val="24"/>
        </w:rPr>
      </w:pPr>
    </w:p>
    <w:p w14:paraId="36D0E480">
      <w:pPr>
        <w:spacing w:line="360" w:lineRule="auto"/>
        <w:rPr>
          <w:rFonts w:hint="eastAsia" w:ascii="宋体" w:hAnsi="宋体" w:eastAsia="宋体" w:cs="宋体"/>
          <w:sz w:val="24"/>
          <w:szCs w:val="24"/>
        </w:rPr>
      </w:pPr>
    </w:p>
    <w:p w14:paraId="17AC5B77">
      <w:pPr>
        <w:spacing w:line="360" w:lineRule="auto"/>
        <w:rPr>
          <w:rFonts w:hint="eastAsia" w:ascii="宋体" w:hAnsi="宋体" w:eastAsia="宋体" w:cs="宋体"/>
          <w:sz w:val="24"/>
          <w:szCs w:val="24"/>
        </w:rPr>
      </w:pPr>
    </w:p>
    <w:p w14:paraId="47689CEF">
      <w:pPr>
        <w:spacing w:line="360" w:lineRule="auto"/>
        <w:rPr>
          <w:rFonts w:hint="eastAsia" w:ascii="宋体" w:hAnsi="宋体" w:eastAsia="宋体" w:cs="宋体"/>
          <w:sz w:val="24"/>
          <w:szCs w:val="24"/>
        </w:rPr>
      </w:pPr>
    </w:p>
    <w:p w14:paraId="3D7B4907">
      <w:pPr>
        <w:spacing w:line="360" w:lineRule="auto"/>
        <w:rPr>
          <w:rFonts w:hint="eastAsia" w:ascii="宋体" w:hAnsi="宋体" w:eastAsia="宋体" w:cs="宋体"/>
          <w:sz w:val="24"/>
          <w:szCs w:val="24"/>
        </w:rPr>
      </w:pPr>
    </w:p>
    <w:p w14:paraId="363C16AA">
      <w:pPr>
        <w:spacing w:line="360" w:lineRule="auto"/>
        <w:rPr>
          <w:rFonts w:hint="eastAsia" w:ascii="宋体" w:hAnsi="宋体" w:eastAsia="宋体" w:cs="宋体"/>
          <w:sz w:val="24"/>
          <w:szCs w:val="24"/>
        </w:rPr>
      </w:pPr>
    </w:p>
    <w:p w14:paraId="1DBFE2F4">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江苏省某单位设备100070</w:t>
      </w:r>
      <w:r>
        <w:rPr>
          <w:rFonts w:hint="eastAsia" w:ascii="宋体" w:hAnsi="宋体" w:cs="宋体"/>
          <w:b/>
          <w:bCs/>
          <w:sz w:val="36"/>
          <w:szCs w:val="36"/>
          <w:lang w:eastAsia="zh-CN"/>
        </w:rPr>
        <w:t>招标</w:t>
      </w:r>
      <w:r>
        <w:rPr>
          <w:rFonts w:hint="eastAsia" w:ascii="宋体" w:hAnsi="宋体" w:eastAsia="宋体" w:cs="宋体"/>
          <w:b/>
          <w:bCs/>
          <w:sz w:val="36"/>
          <w:szCs w:val="36"/>
        </w:rPr>
        <w:t>项目合同</w:t>
      </w:r>
    </w:p>
    <w:p w14:paraId="1819B635">
      <w:pPr>
        <w:spacing w:line="360" w:lineRule="auto"/>
        <w:jc w:val="center"/>
        <w:rPr>
          <w:rFonts w:hint="eastAsia" w:ascii="宋体" w:hAnsi="宋体" w:eastAsia="宋体" w:cs="宋体"/>
          <w:b/>
          <w:bCs/>
          <w:sz w:val="24"/>
          <w:szCs w:val="24"/>
        </w:rPr>
      </w:pPr>
    </w:p>
    <w:p w14:paraId="744CB0EB">
      <w:pPr>
        <w:spacing w:line="360" w:lineRule="auto"/>
        <w:jc w:val="center"/>
        <w:rPr>
          <w:rFonts w:hint="eastAsia" w:ascii="宋体" w:hAnsi="宋体" w:eastAsia="宋体" w:cs="宋体"/>
          <w:b/>
          <w:bCs/>
          <w:sz w:val="24"/>
          <w:szCs w:val="24"/>
        </w:rPr>
      </w:pPr>
    </w:p>
    <w:p w14:paraId="649E7771">
      <w:pPr>
        <w:spacing w:line="360" w:lineRule="auto"/>
        <w:jc w:val="center"/>
        <w:rPr>
          <w:rFonts w:hint="eastAsia" w:ascii="宋体" w:hAnsi="宋体" w:eastAsia="宋体" w:cs="宋体"/>
          <w:b/>
          <w:bCs/>
          <w:sz w:val="24"/>
          <w:szCs w:val="24"/>
        </w:rPr>
      </w:pPr>
    </w:p>
    <w:p w14:paraId="2A118469">
      <w:pPr>
        <w:spacing w:line="360" w:lineRule="auto"/>
        <w:jc w:val="center"/>
        <w:rPr>
          <w:rFonts w:hint="eastAsia" w:ascii="宋体" w:hAnsi="宋体" w:eastAsia="宋体" w:cs="宋体"/>
          <w:b/>
          <w:bCs/>
          <w:sz w:val="24"/>
          <w:szCs w:val="24"/>
        </w:rPr>
      </w:pPr>
    </w:p>
    <w:p w14:paraId="4E787F68">
      <w:pPr>
        <w:spacing w:line="360" w:lineRule="auto"/>
        <w:jc w:val="center"/>
        <w:rPr>
          <w:rFonts w:hint="eastAsia" w:ascii="宋体" w:hAnsi="宋体" w:eastAsia="宋体" w:cs="宋体"/>
          <w:b/>
          <w:bCs/>
          <w:sz w:val="24"/>
          <w:szCs w:val="24"/>
        </w:rPr>
      </w:pPr>
    </w:p>
    <w:p w14:paraId="48ECC51A">
      <w:pPr>
        <w:spacing w:line="360" w:lineRule="auto"/>
        <w:jc w:val="center"/>
        <w:rPr>
          <w:rFonts w:hint="eastAsia" w:ascii="宋体" w:hAnsi="宋体" w:eastAsia="宋体" w:cs="宋体"/>
          <w:b/>
          <w:bCs/>
          <w:sz w:val="24"/>
          <w:szCs w:val="24"/>
        </w:rPr>
      </w:pPr>
    </w:p>
    <w:p w14:paraId="452E513D">
      <w:pPr>
        <w:spacing w:line="360" w:lineRule="auto"/>
        <w:jc w:val="center"/>
        <w:rPr>
          <w:rFonts w:hint="eastAsia" w:ascii="宋体" w:hAnsi="宋体" w:eastAsia="宋体" w:cs="宋体"/>
          <w:b/>
          <w:bCs/>
          <w:sz w:val="24"/>
          <w:szCs w:val="24"/>
        </w:rPr>
      </w:pPr>
    </w:p>
    <w:p w14:paraId="0B12CE43">
      <w:pPr>
        <w:spacing w:line="360" w:lineRule="auto"/>
        <w:jc w:val="center"/>
        <w:rPr>
          <w:rFonts w:hint="eastAsia" w:ascii="宋体" w:hAnsi="宋体" w:eastAsia="宋体" w:cs="宋体"/>
          <w:b/>
          <w:bCs/>
          <w:sz w:val="24"/>
          <w:szCs w:val="24"/>
        </w:rPr>
      </w:pPr>
    </w:p>
    <w:p w14:paraId="607C33E6">
      <w:pPr>
        <w:spacing w:line="36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rPr>
        <w:t>甲方：</w:t>
      </w:r>
      <w:r>
        <w:rPr>
          <w:rFonts w:hint="eastAsia" w:ascii="宋体" w:hAnsi="宋体" w:cs="宋体"/>
          <w:b/>
          <w:bCs/>
          <w:sz w:val="24"/>
          <w:szCs w:val="24"/>
          <w:lang w:eastAsia="zh-CN"/>
        </w:rPr>
        <w:t>扬州北辰电气集团有限公司</w:t>
      </w:r>
    </w:p>
    <w:p w14:paraId="01AB70F7">
      <w:pPr>
        <w:spacing w:line="360" w:lineRule="auto"/>
        <w:jc w:val="center"/>
        <w:rPr>
          <w:rFonts w:hint="eastAsia" w:ascii="宋体" w:hAnsi="宋体" w:eastAsia="宋体" w:cs="宋体"/>
          <w:b/>
          <w:bCs/>
          <w:sz w:val="24"/>
          <w:szCs w:val="24"/>
        </w:rPr>
      </w:pPr>
    </w:p>
    <w:p w14:paraId="32C10593">
      <w:pPr>
        <w:spacing w:line="360" w:lineRule="auto"/>
        <w:ind w:firstLine="2650" w:firstLineChars="1100"/>
        <w:jc w:val="both"/>
        <w:rPr>
          <w:rFonts w:hint="eastAsia" w:ascii="宋体" w:hAnsi="宋体" w:eastAsia="宋体" w:cs="宋体"/>
          <w:b/>
          <w:bCs/>
          <w:sz w:val="24"/>
          <w:szCs w:val="24"/>
        </w:rPr>
      </w:pPr>
      <w:r>
        <w:rPr>
          <w:rFonts w:hint="eastAsia" w:ascii="宋体" w:hAnsi="宋体" w:eastAsia="宋体" w:cs="宋体"/>
          <w:b/>
          <w:bCs/>
          <w:sz w:val="24"/>
          <w:szCs w:val="24"/>
        </w:rPr>
        <w:t>乙方：</w:t>
      </w:r>
    </w:p>
    <w:p w14:paraId="13BC52C9">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4FB55453">
      <w:pPr>
        <w:pStyle w:val="2"/>
        <w:bidi w:val="0"/>
        <w:rPr>
          <w:rFonts w:hint="eastAsia"/>
          <w:lang w:val="en-US" w:eastAsia="zh-CN"/>
        </w:rPr>
      </w:pPr>
      <w:r>
        <w:rPr>
          <w:rFonts w:hint="eastAsia"/>
          <w:lang w:val="en-US" w:eastAsia="zh-CN"/>
        </w:rPr>
        <w:t>双方信息</w:t>
      </w:r>
    </w:p>
    <w:p w14:paraId="137BA6B3">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sz w:val="24"/>
          <w:szCs w:val="24"/>
          <w:lang w:eastAsia="zh-CN"/>
        </w:rPr>
        <w:t>扬州北辰电气集团有限公司</w:t>
      </w:r>
      <w:r>
        <w:rPr>
          <w:rFonts w:hint="eastAsia" w:ascii="宋体" w:hAnsi="宋体" w:eastAsia="宋体" w:cs="宋体"/>
          <w:sz w:val="24"/>
          <w:szCs w:val="24"/>
        </w:rPr>
        <w:t>】</w:t>
      </w:r>
    </w:p>
    <w:p w14:paraId="56737B1D">
      <w:pPr>
        <w:spacing w:line="360" w:lineRule="auto"/>
        <w:rPr>
          <w:rFonts w:hint="eastAsia" w:ascii="宋体" w:hAnsi="宋体" w:eastAsia="宋体" w:cs="宋体"/>
          <w:sz w:val="24"/>
          <w:szCs w:val="24"/>
        </w:rPr>
      </w:pPr>
      <w:r>
        <w:rPr>
          <w:rFonts w:hint="eastAsia" w:ascii="宋体" w:hAnsi="宋体" w:eastAsia="宋体" w:cs="宋体"/>
          <w:sz w:val="24"/>
          <w:szCs w:val="24"/>
        </w:rPr>
        <w:t>地址：【</w:t>
      </w:r>
      <w:r>
        <w:rPr>
          <w:rFonts w:hint="eastAsia"/>
          <w:lang w:val="en-US" w:eastAsia="zh-CN"/>
        </w:rPr>
        <w:t>扬州市 经济开发区 扬子津街道 鸿大路58号</w:t>
      </w:r>
      <w:r>
        <w:rPr>
          <w:rFonts w:hint="eastAsia" w:ascii="宋体" w:hAnsi="宋体" w:eastAsia="宋体" w:cs="宋体"/>
          <w:sz w:val="24"/>
          <w:szCs w:val="24"/>
        </w:rPr>
        <w:t>】</w:t>
      </w:r>
    </w:p>
    <w:p w14:paraId="2ACD88C3">
      <w:pPr>
        <w:spacing w:line="360" w:lineRule="auto"/>
        <w:rPr>
          <w:rFonts w:hint="eastAsia" w:ascii="宋体" w:hAnsi="宋体" w:eastAsia="宋体" w:cs="宋体"/>
          <w:sz w:val="24"/>
          <w:szCs w:val="24"/>
        </w:rPr>
      </w:pPr>
      <w:r>
        <w:rPr>
          <w:rFonts w:hint="eastAsia" w:ascii="宋体" w:hAnsi="宋体" w:eastAsia="宋体" w:cs="宋体"/>
          <w:sz w:val="24"/>
          <w:szCs w:val="24"/>
        </w:rPr>
        <w:t>法定代表人/负责人：【】</w:t>
      </w:r>
    </w:p>
    <w:p w14:paraId="598BC96C">
      <w:pPr>
        <w:spacing w:line="360" w:lineRule="auto"/>
        <w:rPr>
          <w:rFonts w:hint="eastAsia" w:ascii="宋体" w:hAnsi="宋体" w:eastAsia="宋体" w:cs="宋体"/>
          <w:sz w:val="24"/>
          <w:szCs w:val="24"/>
        </w:rPr>
      </w:pPr>
    </w:p>
    <w:p w14:paraId="66297F0E">
      <w:pPr>
        <w:spacing w:line="360" w:lineRule="auto"/>
        <w:rPr>
          <w:rFonts w:hint="eastAsia" w:ascii="宋体" w:hAnsi="宋体" w:eastAsia="宋体" w:cs="宋体"/>
          <w:sz w:val="24"/>
          <w:szCs w:val="24"/>
        </w:rPr>
      </w:pPr>
      <w:r>
        <w:rPr>
          <w:rFonts w:hint="eastAsia" w:ascii="宋体" w:hAnsi="宋体" w:eastAsia="宋体" w:cs="宋体"/>
          <w:sz w:val="24"/>
          <w:szCs w:val="24"/>
        </w:rPr>
        <w:t>乙方：【 】</w:t>
      </w:r>
    </w:p>
    <w:p w14:paraId="4B82EFD5">
      <w:pPr>
        <w:spacing w:line="360" w:lineRule="auto"/>
        <w:rPr>
          <w:rFonts w:hint="eastAsia" w:ascii="宋体" w:hAnsi="宋体" w:eastAsia="宋体" w:cs="宋体"/>
          <w:sz w:val="24"/>
          <w:szCs w:val="24"/>
        </w:rPr>
      </w:pPr>
      <w:r>
        <w:rPr>
          <w:rFonts w:hint="eastAsia" w:ascii="宋体" w:hAnsi="宋体" w:eastAsia="宋体" w:cs="宋体"/>
          <w:sz w:val="24"/>
          <w:szCs w:val="24"/>
        </w:rPr>
        <w:t>地址：【 】</w:t>
      </w:r>
    </w:p>
    <w:p w14:paraId="1A47A0A1">
      <w:pPr>
        <w:spacing w:line="360" w:lineRule="auto"/>
        <w:rPr>
          <w:rFonts w:hint="eastAsia" w:ascii="宋体" w:hAnsi="宋体" w:eastAsia="宋体" w:cs="宋体"/>
          <w:sz w:val="24"/>
          <w:szCs w:val="24"/>
        </w:rPr>
      </w:pPr>
      <w:r>
        <w:rPr>
          <w:rFonts w:hint="eastAsia" w:ascii="宋体" w:hAnsi="宋体" w:eastAsia="宋体" w:cs="宋体"/>
          <w:sz w:val="24"/>
          <w:szCs w:val="24"/>
        </w:rPr>
        <w:t>法定代表人/负责人：【 】</w:t>
      </w:r>
    </w:p>
    <w:p w14:paraId="7CC915F8">
      <w:pPr>
        <w:pStyle w:val="2"/>
        <w:bidi w:val="0"/>
        <w:rPr>
          <w:rFonts w:hint="eastAsia"/>
          <w:lang w:val="en-US" w:eastAsia="zh-CN"/>
        </w:rPr>
      </w:pPr>
      <w:r>
        <w:rPr>
          <w:rFonts w:hint="eastAsia"/>
          <w:lang w:val="en-US" w:eastAsia="zh-CN"/>
        </w:rPr>
        <w:t>合同金额</w:t>
      </w:r>
    </w:p>
    <w:p w14:paraId="7415FF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合同含税总价为：人民币</w:t>
      </w:r>
      <w:r>
        <w:rPr>
          <w:rFonts w:hint="eastAsia" w:ascii="宋体" w:hAnsi="宋体" w:eastAsia="宋体" w:cs="宋体"/>
          <w:sz w:val="24"/>
          <w:szCs w:val="24"/>
          <w:lang w:eastAsia="zh-CN"/>
        </w:rPr>
        <w:t>【】</w:t>
      </w:r>
      <w:r>
        <w:rPr>
          <w:rFonts w:hint="eastAsia" w:ascii="宋体" w:hAnsi="宋体" w:eastAsia="宋体" w:cs="宋体"/>
          <w:sz w:val="24"/>
          <w:szCs w:val="24"/>
        </w:rPr>
        <w:t>元（大写：</w:t>
      </w:r>
      <w:r>
        <w:rPr>
          <w:rFonts w:hint="eastAsia" w:ascii="宋体" w:hAnsi="宋体" w:eastAsia="宋体" w:cs="宋体"/>
          <w:sz w:val="24"/>
          <w:szCs w:val="24"/>
          <w:lang w:eastAsia="zh-CN"/>
        </w:rPr>
        <w:t>【】</w:t>
      </w:r>
      <w:r>
        <w:rPr>
          <w:rFonts w:hint="eastAsia" w:ascii="宋体" w:hAnsi="宋体" w:eastAsia="宋体" w:cs="宋体"/>
          <w:sz w:val="24"/>
          <w:szCs w:val="24"/>
        </w:rPr>
        <w:t>）。不含税价：人民币【】元（大写：</w:t>
      </w:r>
      <w:r>
        <w:rPr>
          <w:rFonts w:hint="eastAsia" w:ascii="宋体" w:hAnsi="宋体" w:eastAsia="宋体" w:cs="宋体"/>
          <w:sz w:val="24"/>
          <w:szCs w:val="24"/>
          <w:lang w:val="en-US" w:eastAsia="zh-CN"/>
        </w:rPr>
        <w:t>【】）。</w:t>
      </w:r>
      <w:r>
        <w:rPr>
          <w:rFonts w:hint="eastAsia" w:ascii="宋体" w:hAnsi="宋体" w:eastAsia="宋体" w:cs="宋体"/>
          <w:sz w:val="24"/>
          <w:szCs w:val="24"/>
        </w:rPr>
        <w:t>税额：人民币</w:t>
      </w:r>
      <w:r>
        <w:rPr>
          <w:rFonts w:hint="eastAsia" w:ascii="宋体" w:hAnsi="宋体" w:eastAsia="宋体" w:cs="宋体"/>
          <w:sz w:val="24"/>
          <w:szCs w:val="24"/>
          <w:lang w:eastAsia="zh-CN"/>
        </w:rPr>
        <w:t>【】</w:t>
      </w:r>
      <w:r>
        <w:rPr>
          <w:rFonts w:hint="eastAsia" w:ascii="宋体" w:hAnsi="宋体" w:eastAsia="宋体" w:cs="宋体"/>
          <w:sz w:val="24"/>
          <w:szCs w:val="24"/>
        </w:rPr>
        <w:t>元（大写：</w:t>
      </w:r>
      <w:r>
        <w:rPr>
          <w:rFonts w:hint="eastAsia" w:ascii="宋体" w:hAnsi="宋体" w:eastAsia="宋体" w:cs="宋体"/>
          <w:sz w:val="24"/>
          <w:szCs w:val="24"/>
          <w:lang w:eastAsia="zh-CN"/>
        </w:rPr>
        <w:t>【】</w:t>
      </w:r>
      <w:r>
        <w:rPr>
          <w:rFonts w:hint="eastAsia" w:ascii="宋体" w:hAnsi="宋体" w:eastAsia="宋体" w:cs="宋体"/>
          <w:sz w:val="24"/>
          <w:szCs w:val="24"/>
        </w:rPr>
        <w:t>），税率【】。</w:t>
      </w:r>
    </w:p>
    <w:p w14:paraId="4D64C1AB">
      <w:pPr>
        <w:pStyle w:val="2"/>
        <w:bidi w:val="0"/>
        <w:rPr>
          <w:rFonts w:hint="default"/>
          <w:lang w:val="en-US" w:eastAsia="zh-CN"/>
        </w:rPr>
      </w:pPr>
      <w:r>
        <w:rPr>
          <w:rFonts w:hint="eastAsia"/>
          <w:lang w:val="en-US" w:eastAsia="zh-CN"/>
        </w:rPr>
        <w:t>付款方式</w:t>
      </w:r>
    </w:p>
    <w:p w14:paraId="67E084D3">
      <w:pPr>
        <w:numPr>
          <w:ilvl w:val="0"/>
          <w:numId w:val="3"/>
        </w:numPr>
        <w:rPr>
          <w:rFonts w:hint="eastAsia"/>
          <w:highlight w:val="none"/>
          <w:lang w:val="en-US" w:eastAsia="zh-CN"/>
        </w:rPr>
      </w:pPr>
      <w:r>
        <w:rPr>
          <w:rFonts w:hint="eastAsia"/>
          <w:highlight w:val="none"/>
          <w:lang w:val="en-US" w:eastAsia="zh-CN"/>
        </w:rPr>
        <w:t>设备到货后付款至合同总价的90%，整体验收通过后付款至合同总价的100%。</w:t>
      </w:r>
    </w:p>
    <w:p w14:paraId="7695A5D8">
      <w:pPr>
        <w:numPr>
          <w:ilvl w:val="0"/>
          <w:numId w:val="0"/>
        </w:numPr>
        <w:ind w:firstLine="420" w:firstLineChars="0"/>
        <w:rPr>
          <w:rFonts w:hint="eastAsia"/>
          <w:highlight w:val="none"/>
          <w:lang w:val="en-US" w:eastAsia="zh-CN"/>
        </w:rPr>
      </w:pPr>
      <w:r>
        <w:rPr>
          <w:rFonts w:hint="eastAsia"/>
          <w:highlight w:val="none"/>
          <w:lang w:val="en-US" w:eastAsia="zh-CN"/>
        </w:rPr>
        <w:t>2、付款材料</w:t>
      </w:r>
    </w:p>
    <w:p w14:paraId="6C54A680">
      <w:pPr>
        <w:numPr>
          <w:ilvl w:val="0"/>
          <w:numId w:val="0"/>
        </w:numPr>
        <w:ind w:firstLine="420" w:firstLineChars="0"/>
        <w:rPr>
          <w:rFonts w:hint="default"/>
          <w:highlight w:val="none"/>
          <w:lang w:val="en-US" w:eastAsia="zh-CN"/>
        </w:rPr>
      </w:pPr>
      <w:r>
        <w:rPr>
          <w:rFonts w:hint="eastAsia"/>
          <w:highlight w:val="none"/>
          <w:lang w:val="en-US" w:eastAsia="zh-CN"/>
        </w:rPr>
        <w:t>付款材料：到货确认单、验收报告、增值税专用发票。</w:t>
      </w:r>
    </w:p>
    <w:p w14:paraId="6B1174AA">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支付方式【电汇、转账或票据付款】</w:t>
      </w:r>
      <w:r>
        <w:rPr>
          <w:rFonts w:hint="eastAsia" w:ascii="宋体" w:hAnsi="宋体" w:eastAsia="宋体" w:cs="宋体"/>
          <w:color w:val="000000"/>
          <w:sz w:val="24"/>
          <w:szCs w:val="24"/>
          <w:lang w:eastAsia="zh-CN"/>
        </w:rPr>
        <w:t>。</w:t>
      </w:r>
    </w:p>
    <w:p w14:paraId="6C4FB232">
      <w:pPr>
        <w:bidi w:val="0"/>
        <w:rPr>
          <w:rFonts w:hint="eastAsia"/>
          <w:lang w:val="en-US" w:eastAsia="zh-CN"/>
        </w:rPr>
      </w:pPr>
      <w:r>
        <w:rPr>
          <w:rFonts w:hint="eastAsia"/>
          <w:lang w:val="en-US" w:eastAsia="zh-CN"/>
        </w:rPr>
        <w:t>4、双方开票信息</w:t>
      </w:r>
    </w:p>
    <w:p w14:paraId="303B162E">
      <w:pPr>
        <w:spacing w:line="360" w:lineRule="auto"/>
        <w:rPr>
          <w:rFonts w:hint="eastAsia" w:ascii="宋体" w:hAnsi="宋体" w:eastAsia="宋体" w:cs="宋体"/>
          <w:sz w:val="24"/>
          <w:szCs w:val="24"/>
        </w:rPr>
      </w:pPr>
      <w:r>
        <w:rPr>
          <w:rFonts w:hint="eastAsia" w:ascii="宋体" w:hAnsi="宋体" w:eastAsia="宋体" w:cs="宋体"/>
          <w:sz w:val="24"/>
          <w:szCs w:val="24"/>
        </w:rPr>
        <w:t>甲方信息</w:t>
      </w:r>
    </w:p>
    <w:p w14:paraId="43F6CC55">
      <w:pPr>
        <w:spacing w:line="360" w:lineRule="auto"/>
        <w:rPr>
          <w:rFonts w:hint="eastAsia" w:ascii="宋体" w:hAnsi="宋体" w:eastAsia="宋体" w:cs="宋体"/>
          <w:sz w:val="24"/>
          <w:szCs w:val="24"/>
        </w:rPr>
      </w:pPr>
      <w:r>
        <w:rPr>
          <w:rFonts w:hint="eastAsia" w:ascii="宋体" w:hAnsi="宋体" w:eastAsia="宋体" w:cs="宋体"/>
          <w:sz w:val="24"/>
          <w:szCs w:val="24"/>
        </w:rPr>
        <w:t>甲方名称：【</w:t>
      </w:r>
      <w:r>
        <w:rPr>
          <w:rFonts w:hint="eastAsia" w:ascii="宋体" w:hAnsi="宋体" w:cs="宋体"/>
          <w:sz w:val="24"/>
          <w:szCs w:val="24"/>
          <w:lang w:eastAsia="zh-CN"/>
        </w:rPr>
        <w:t>扬州北辰电气集团有限公司</w:t>
      </w:r>
      <w:r>
        <w:rPr>
          <w:rFonts w:hint="eastAsia" w:ascii="宋体" w:hAnsi="宋体" w:eastAsia="宋体" w:cs="宋体"/>
          <w:sz w:val="24"/>
          <w:szCs w:val="24"/>
        </w:rPr>
        <w:t>】</w:t>
      </w:r>
      <w:bookmarkStart w:id="0" w:name="_GoBack"/>
      <w:bookmarkEnd w:id="0"/>
    </w:p>
    <w:p w14:paraId="6C5E474A">
      <w:pPr>
        <w:spacing w:line="360" w:lineRule="auto"/>
        <w:rPr>
          <w:rFonts w:hint="eastAsia" w:ascii="宋体" w:hAnsi="宋体" w:eastAsia="宋体" w:cs="宋体"/>
          <w:sz w:val="24"/>
          <w:szCs w:val="24"/>
        </w:rPr>
      </w:pPr>
      <w:r>
        <w:rPr>
          <w:rFonts w:hint="eastAsia" w:ascii="宋体" w:hAnsi="宋体" w:eastAsia="宋体" w:cs="宋体"/>
          <w:sz w:val="24"/>
          <w:szCs w:val="24"/>
        </w:rPr>
        <w:t>纳税人识别号：【</w:t>
      </w:r>
      <w:r>
        <w:rPr>
          <w:rFonts w:hint="eastAsia"/>
          <w:lang w:val="en-US" w:eastAsia="zh-CN"/>
        </w:rPr>
        <w:t>9132109172063897B</w:t>
      </w:r>
      <w:r>
        <w:rPr>
          <w:rFonts w:hint="eastAsia" w:ascii="宋体" w:hAnsi="宋体" w:eastAsia="宋体" w:cs="宋体"/>
          <w:sz w:val="24"/>
          <w:szCs w:val="24"/>
        </w:rPr>
        <w:t>】</w:t>
      </w:r>
    </w:p>
    <w:p w14:paraId="114612F4">
      <w:pPr>
        <w:spacing w:line="360" w:lineRule="auto"/>
        <w:rPr>
          <w:rFonts w:hint="eastAsia" w:ascii="宋体" w:hAnsi="宋体" w:eastAsia="宋体" w:cs="宋体"/>
          <w:sz w:val="24"/>
          <w:szCs w:val="24"/>
        </w:rPr>
      </w:pPr>
    </w:p>
    <w:p w14:paraId="06C36C41">
      <w:pPr>
        <w:spacing w:line="360" w:lineRule="auto"/>
        <w:rPr>
          <w:rFonts w:hint="eastAsia" w:ascii="宋体" w:hAnsi="宋体" w:eastAsia="宋体" w:cs="宋体"/>
          <w:sz w:val="24"/>
          <w:szCs w:val="24"/>
        </w:rPr>
      </w:pPr>
    </w:p>
    <w:p w14:paraId="6D4FB188">
      <w:pPr>
        <w:spacing w:line="360" w:lineRule="auto"/>
        <w:rPr>
          <w:rFonts w:hint="eastAsia" w:ascii="宋体" w:hAnsi="宋体" w:eastAsia="宋体" w:cs="宋体"/>
          <w:sz w:val="24"/>
          <w:szCs w:val="24"/>
        </w:rPr>
      </w:pPr>
      <w:r>
        <w:rPr>
          <w:rFonts w:hint="eastAsia" w:ascii="宋体" w:hAnsi="宋体" w:eastAsia="宋体" w:cs="宋体"/>
          <w:sz w:val="24"/>
          <w:szCs w:val="24"/>
        </w:rPr>
        <w:t>乙方信息</w:t>
      </w:r>
    </w:p>
    <w:p w14:paraId="07430E69">
      <w:pPr>
        <w:spacing w:line="360" w:lineRule="auto"/>
        <w:rPr>
          <w:rFonts w:hint="eastAsia" w:ascii="宋体" w:hAnsi="宋体" w:eastAsia="宋体" w:cs="宋体"/>
          <w:sz w:val="24"/>
          <w:szCs w:val="24"/>
        </w:rPr>
      </w:pPr>
      <w:r>
        <w:rPr>
          <w:rFonts w:hint="eastAsia" w:ascii="宋体" w:hAnsi="宋体" w:eastAsia="宋体" w:cs="宋体"/>
          <w:sz w:val="24"/>
          <w:szCs w:val="24"/>
        </w:rPr>
        <w:t>乙方名称：【】</w:t>
      </w:r>
    </w:p>
    <w:p w14:paraId="1EC2DE69">
      <w:pPr>
        <w:spacing w:line="360" w:lineRule="auto"/>
        <w:rPr>
          <w:rFonts w:hint="eastAsia" w:ascii="宋体" w:hAnsi="宋体" w:eastAsia="宋体" w:cs="宋体"/>
          <w:sz w:val="24"/>
          <w:szCs w:val="24"/>
        </w:rPr>
      </w:pPr>
      <w:r>
        <w:rPr>
          <w:rFonts w:hint="eastAsia" w:ascii="宋体" w:hAnsi="宋体" w:eastAsia="宋体" w:cs="宋体"/>
          <w:sz w:val="24"/>
          <w:szCs w:val="24"/>
        </w:rPr>
        <w:t>纳税人识别号：【】</w:t>
      </w:r>
    </w:p>
    <w:p w14:paraId="3458F28D">
      <w:pPr>
        <w:spacing w:line="360" w:lineRule="auto"/>
        <w:rPr>
          <w:rFonts w:hint="eastAsia" w:ascii="宋体" w:hAnsi="宋体" w:eastAsia="宋体" w:cs="宋体"/>
          <w:sz w:val="24"/>
          <w:szCs w:val="24"/>
        </w:rPr>
      </w:pPr>
      <w:r>
        <w:rPr>
          <w:rFonts w:hint="eastAsia" w:ascii="宋体" w:hAnsi="宋体" w:eastAsia="宋体" w:cs="宋体"/>
          <w:sz w:val="24"/>
          <w:szCs w:val="24"/>
        </w:rPr>
        <w:t>户名：【】</w:t>
      </w:r>
    </w:p>
    <w:p w14:paraId="0C5929F1">
      <w:pPr>
        <w:spacing w:line="360" w:lineRule="auto"/>
        <w:rPr>
          <w:rFonts w:hint="eastAsia" w:ascii="宋体" w:hAnsi="宋体" w:eastAsia="宋体" w:cs="宋体"/>
          <w:sz w:val="24"/>
          <w:szCs w:val="24"/>
        </w:rPr>
      </w:pPr>
      <w:r>
        <w:rPr>
          <w:rFonts w:hint="eastAsia" w:ascii="宋体" w:hAnsi="宋体" w:eastAsia="宋体" w:cs="宋体"/>
          <w:sz w:val="24"/>
          <w:szCs w:val="24"/>
        </w:rPr>
        <w:t>开户行：【】</w:t>
      </w:r>
    </w:p>
    <w:p w14:paraId="3E554B88">
      <w:pPr>
        <w:spacing w:line="360" w:lineRule="auto"/>
        <w:rPr>
          <w:rFonts w:hint="eastAsia" w:ascii="宋体" w:hAnsi="宋体" w:eastAsia="宋体" w:cs="宋体"/>
          <w:sz w:val="24"/>
          <w:szCs w:val="24"/>
        </w:rPr>
      </w:pPr>
      <w:r>
        <w:rPr>
          <w:rFonts w:hint="eastAsia" w:ascii="宋体" w:hAnsi="宋体" w:eastAsia="宋体" w:cs="宋体"/>
          <w:sz w:val="24"/>
          <w:szCs w:val="24"/>
        </w:rPr>
        <w:t>账号：【】</w:t>
      </w:r>
    </w:p>
    <w:p w14:paraId="335BF514">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p w14:paraId="00F93A55">
      <w:pPr>
        <w:spacing w:line="360" w:lineRule="auto"/>
        <w:rPr>
          <w:rFonts w:hint="eastAsia" w:ascii="宋体" w:hAnsi="宋体" w:eastAsia="宋体" w:cs="宋体"/>
          <w:sz w:val="24"/>
          <w:szCs w:val="24"/>
        </w:rPr>
      </w:pPr>
      <w:r>
        <w:rPr>
          <w:rFonts w:hint="eastAsia" w:ascii="宋体" w:hAnsi="宋体" w:eastAsia="宋体" w:cs="宋体"/>
          <w:sz w:val="24"/>
          <w:szCs w:val="24"/>
        </w:rPr>
        <w:t>联系电话：【】</w:t>
      </w:r>
    </w:p>
    <w:p w14:paraId="45CB6FFF">
      <w:pPr>
        <w:spacing w:line="360" w:lineRule="auto"/>
        <w:rPr>
          <w:rFonts w:hint="eastAsia" w:ascii="宋体" w:hAnsi="宋体" w:eastAsia="宋体" w:cs="宋体"/>
          <w:sz w:val="24"/>
          <w:szCs w:val="24"/>
        </w:rPr>
      </w:pPr>
      <w:r>
        <w:rPr>
          <w:rFonts w:hint="eastAsia" w:ascii="宋体" w:hAnsi="宋体" w:eastAsia="宋体" w:cs="宋体"/>
          <w:sz w:val="24"/>
          <w:szCs w:val="24"/>
        </w:rPr>
        <w:t>工商注册号：【】</w:t>
      </w:r>
    </w:p>
    <w:p w14:paraId="117019CB">
      <w:pPr>
        <w:spacing w:line="360" w:lineRule="auto"/>
        <w:rPr>
          <w:rFonts w:hint="eastAsia" w:ascii="宋体" w:hAnsi="宋体" w:eastAsia="宋体" w:cs="宋体"/>
          <w:sz w:val="24"/>
          <w:szCs w:val="24"/>
        </w:rPr>
      </w:pPr>
      <w:r>
        <w:rPr>
          <w:rFonts w:hint="eastAsia" w:ascii="宋体" w:hAnsi="宋体" w:eastAsia="宋体" w:cs="宋体"/>
          <w:sz w:val="24"/>
          <w:szCs w:val="24"/>
        </w:rPr>
        <w:t>税务资质：【】</w:t>
      </w:r>
    </w:p>
    <w:p w14:paraId="7417046A">
      <w:pPr>
        <w:bidi w:val="0"/>
        <w:rPr>
          <w:rFonts w:hint="eastAsia"/>
          <w:lang w:val="en-US" w:eastAsia="zh-CN"/>
        </w:rPr>
      </w:pPr>
      <w:r>
        <w:rPr>
          <w:rFonts w:hint="eastAsia"/>
          <w:lang w:val="en-US" w:eastAsia="zh-CN"/>
        </w:rPr>
        <w:t>5、税率变更</w:t>
      </w:r>
    </w:p>
    <w:p w14:paraId="20A95B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过程中，如遇国家税率政策变更，对于合同未履行完毕的部分，在原标的不含税（单）价不变的基础上，按照新税率重新计算标的含税（单）价/合同总价，并且继续履行，后续不再另行签订补充协议。</w:t>
      </w:r>
    </w:p>
    <w:p w14:paraId="29073759">
      <w:pPr>
        <w:pStyle w:val="2"/>
        <w:bidi w:val="0"/>
        <w:rPr>
          <w:rFonts w:hint="eastAsia"/>
          <w:lang w:val="en-US" w:eastAsia="zh-CN"/>
        </w:rPr>
      </w:pPr>
      <w:r>
        <w:rPr>
          <w:rFonts w:hint="eastAsia"/>
          <w:lang w:val="en-US" w:eastAsia="zh-CN"/>
        </w:rPr>
        <w:t>交付与验收</w:t>
      </w:r>
    </w:p>
    <w:p w14:paraId="0ED6FFBC">
      <w:pPr>
        <w:bidi w:val="0"/>
        <w:rPr>
          <w:rFonts w:hint="default"/>
          <w:lang w:val="en-US" w:eastAsia="zh-CN"/>
        </w:rPr>
      </w:pPr>
      <w:r>
        <w:rPr>
          <w:rFonts w:hint="default"/>
          <w:lang w:val="en-US" w:eastAsia="zh-CN"/>
        </w:rPr>
        <w:t>1</w:t>
      </w:r>
      <w:r>
        <w:rPr>
          <w:rFonts w:hint="eastAsia"/>
          <w:lang w:val="en-US" w:eastAsia="zh-CN"/>
        </w:rPr>
        <w:t>、</w:t>
      </w:r>
      <w:r>
        <w:rPr>
          <w:rFonts w:hint="default"/>
          <w:lang w:val="en-US" w:eastAsia="zh-CN"/>
        </w:rPr>
        <w:t>交付与产品安装地点：【甲方指定地点】。</w:t>
      </w:r>
    </w:p>
    <w:p w14:paraId="55DE932B">
      <w:pPr>
        <w:bidi w:val="0"/>
        <w:rPr>
          <w:rFonts w:hint="default"/>
          <w:highlight w:val="none"/>
          <w:lang w:val="en-US" w:eastAsia="zh-CN"/>
        </w:rPr>
      </w:pPr>
      <w:r>
        <w:rPr>
          <w:rFonts w:hint="default"/>
          <w:lang w:val="en-US" w:eastAsia="zh-CN"/>
        </w:rPr>
        <w:t>2</w:t>
      </w:r>
      <w:r>
        <w:rPr>
          <w:rFonts w:hint="eastAsia"/>
          <w:lang w:val="en-US" w:eastAsia="zh-CN"/>
        </w:rPr>
        <w:t>、</w:t>
      </w:r>
      <w:r>
        <w:rPr>
          <w:rFonts w:hint="default"/>
          <w:lang w:val="en-US" w:eastAsia="zh-CN"/>
        </w:rPr>
        <w:t>交付时间：</w:t>
      </w:r>
      <w:r>
        <w:rPr>
          <w:rFonts w:hint="eastAsia" w:asciiTheme="minorEastAsia" w:hAnsiTheme="minorEastAsia" w:cstheme="minorEastAsia"/>
          <w:bCs/>
          <w:color w:val="000000"/>
          <w:sz w:val="24"/>
          <w:szCs w:val="24"/>
          <w:highlight w:val="none"/>
          <w:shd w:val="clear" w:color="auto" w:fill="FFFFFF"/>
          <w:lang w:val="en-US" w:eastAsia="zh-CN"/>
        </w:rPr>
        <w:t>自合同签订之日起50日内</w:t>
      </w:r>
      <w:r>
        <w:rPr>
          <w:rFonts w:hint="eastAsia" w:asciiTheme="minorEastAsia" w:hAnsiTheme="minorEastAsia" w:eastAsiaTheme="minorEastAsia" w:cstheme="minorEastAsia"/>
          <w:bCs/>
          <w:color w:val="000000"/>
          <w:sz w:val="24"/>
          <w:szCs w:val="24"/>
          <w:highlight w:val="none"/>
          <w:shd w:val="clear" w:color="auto" w:fill="FFFFFF"/>
          <w:lang w:val="en-US" w:eastAsia="zh-CN"/>
        </w:rPr>
        <w:t>完成全部设备到货，并验收合格</w:t>
      </w:r>
      <w:r>
        <w:rPr>
          <w:rFonts w:hint="default"/>
          <w:highlight w:val="none"/>
          <w:lang w:val="en-US" w:eastAsia="zh-CN"/>
        </w:rPr>
        <w:t>。</w:t>
      </w:r>
    </w:p>
    <w:p w14:paraId="1CD666B1">
      <w:pPr>
        <w:bidi w:val="0"/>
        <w:rPr>
          <w:rFonts w:hint="default"/>
          <w:highlight w:val="none"/>
          <w:lang w:val="en-US" w:eastAsia="zh-CN"/>
        </w:rPr>
      </w:pPr>
      <w:r>
        <w:rPr>
          <w:rFonts w:hint="default"/>
          <w:highlight w:val="none"/>
          <w:lang w:val="en-US" w:eastAsia="zh-CN"/>
        </w:rPr>
        <w:t>3</w:t>
      </w:r>
      <w:r>
        <w:rPr>
          <w:rFonts w:hint="eastAsia"/>
          <w:highlight w:val="none"/>
          <w:lang w:val="en-US" w:eastAsia="zh-CN"/>
        </w:rPr>
        <w:t>、</w:t>
      </w:r>
      <w:r>
        <w:rPr>
          <w:rFonts w:hint="default"/>
          <w:highlight w:val="none"/>
          <w:lang w:val="en-US" w:eastAsia="zh-CN"/>
        </w:rPr>
        <w:t>甲方收货联系人：【</w:t>
      </w:r>
      <w:r>
        <w:rPr>
          <w:rFonts w:hint="eastAsia"/>
          <w:highlight w:val="none"/>
          <w:lang w:val="en-US" w:eastAsia="zh-CN"/>
        </w:rPr>
        <w:t>XXX</w:t>
      </w:r>
      <w:r>
        <w:rPr>
          <w:rFonts w:hint="default"/>
          <w:highlight w:val="none"/>
          <w:lang w:val="en-US" w:eastAsia="zh-CN"/>
        </w:rPr>
        <w:t>】联系电话：【</w:t>
      </w:r>
      <w:r>
        <w:rPr>
          <w:rFonts w:hint="eastAsia"/>
          <w:highlight w:val="none"/>
          <w:lang w:val="en-US" w:eastAsia="zh-CN"/>
        </w:rPr>
        <w:t>XXXXXXXXXXX</w:t>
      </w:r>
      <w:r>
        <w:rPr>
          <w:rFonts w:hint="default"/>
          <w:highlight w:val="none"/>
          <w:lang w:val="en-US" w:eastAsia="zh-CN"/>
        </w:rPr>
        <w:t>】电子邮箱：【</w:t>
      </w:r>
      <w:r>
        <w:rPr>
          <w:rFonts w:hint="eastAsia"/>
          <w:highlight w:val="none"/>
          <w:lang w:val="en-US" w:eastAsia="zh-CN"/>
        </w:rPr>
        <w:t>XXXXXXXXXX</w:t>
      </w:r>
      <w:r>
        <w:rPr>
          <w:rFonts w:hint="default"/>
          <w:highlight w:val="none"/>
          <w:lang w:val="en-US" w:eastAsia="zh-CN"/>
        </w:rPr>
        <w:t>】。</w:t>
      </w:r>
    </w:p>
    <w:p w14:paraId="550317C1">
      <w:pPr>
        <w:bidi w:val="0"/>
        <w:rPr>
          <w:rFonts w:hint="default"/>
          <w:lang w:val="en-US" w:eastAsia="zh-CN"/>
        </w:rPr>
      </w:pPr>
      <w:r>
        <w:rPr>
          <w:rFonts w:hint="default"/>
          <w:highlight w:val="none"/>
          <w:lang w:val="en-US" w:eastAsia="zh-CN"/>
        </w:rPr>
        <w:t>4</w:t>
      </w:r>
      <w:r>
        <w:rPr>
          <w:rFonts w:hint="eastAsia"/>
          <w:highlight w:val="none"/>
          <w:lang w:val="en-US" w:eastAsia="zh-CN"/>
        </w:rPr>
        <w:t>、验收：</w:t>
      </w:r>
      <w:r>
        <w:rPr>
          <w:rFonts w:hint="default"/>
          <w:highlight w:val="none"/>
          <w:lang w:val="en-US" w:eastAsia="zh-CN"/>
        </w:rPr>
        <w:t>甲方对乙方提交的货物依据</w:t>
      </w:r>
      <w:r>
        <w:rPr>
          <w:rFonts w:hint="eastAsia"/>
          <w:highlight w:val="none"/>
          <w:lang w:val="en-US" w:eastAsia="zh-CN"/>
        </w:rPr>
        <w:t>招标</w:t>
      </w:r>
      <w:r>
        <w:rPr>
          <w:rFonts w:hint="default"/>
          <w:highlight w:val="none"/>
          <w:lang w:val="en-US" w:eastAsia="zh-CN"/>
        </w:rPr>
        <w:t>文件上的技术规格要求和国家有关质量标准进行现场初步验收，外观、说明书符合</w:t>
      </w:r>
      <w:r>
        <w:rPr>
          <w:rFonts w:hint="eastAsia"/>
          <w:highlight w:val="none"/>
          <w:lang w:val="en-US" w:eastAsia="zh-CN"/>
        </w:rPr>
        <w:t>招标</w:t>
      </w:r>
      <w:r>
        <w:rPr>
          <w:rFonts w:hint="default"/>
          <w:highlight w:val="none"/>
          <w:lang w:val="en-US" w:eastAsia="zh-CN"/>
        </w:rPr>
        <w:t>文件技术要求</w:t>
      </w:r>
      <w:r>
        <w:rPr>
          <w:rFonts w:hint="default"/>
          <w:lang w:val="en-US" w:eastAsia="zh-CN"/>
        </w:rPr>
        <w:t>的，给予签收，初步验收不合格的不予签收。</w:t>
      </w:r>
    </w:p>
    <w:p w14:paraId="39E2B98C">
      <w:pPr>
        <w:bidi w:val="0"/>
        <w:rPr>
          <w:rFonts w:hint="default"/>
          <w:lang w:val="en-US" w:eastAsia="zh-CN"/>
        </w:rPr>
      </w:pPr>
      <w:r>
        <w:rPr>
          <w:rFonts w:hint="default"/>
          <w:lang w:val="en-US" w:eastAsia="zh-CN"/>
        </w:rPr>
        <w:t>乙方交货前应对产品作出全面检查和对验收文件进行整理，并列出清单，作为甲方收货验收和使用的技术条件依据，检验的结果应随货物交甲方。</w:t>
      </w:r>
    </w:p>
    <w:p w14:paraId="16A9CB60">
      <w:pPr>
        <w:bidi w:val="0"/>
        <w:rPr>
          <w:rFonts w:hint="default"/>
          <w:lang w:val="en-US" w:eastAsia="zh-CN"/>
        </w:rPr>
      </w:pPr>
      <w:r>
        <w:rPr>
          <w:rFonts w:hint="default"/>
          <w:lang w:val="en-US" w:eastAsia="zh-CN"/>
        </w:rPr>
        <w:t>对技术复杂的货物，甲方可请国家认可的专业检测机构参与初步验收及最终验收，并由其出具质量检测报告。</w:t>
      </w:r>
    </w:p>
    <w:p w14:paraId="4776B8A3">
      <w:pPr>
        <w:bidi w:val="0"/>
        <w:rPr>
          <w:rFonts w:hint="default"/>
          <w:lang w:val="en-US" w:eastAsia="zh-CN"/>
        </w:rPr>
      </w:pPr>
      <w:r>
        <w:rPr>
          <w:rFonts w:hint="default"/>
          <w:lang w:val="en-US" w:eastAsia="zh-CN"/>
        </w:rPr>
        <w:t>验收时乙方必须在现场，验收完毕后作出验收结果报告；验收费用由乙方</w:t>
      </w:r>
      <w:r>
        <w:rPr>
          <w:rFonts w:hint="eastAsia"/>
          <w:lang w:val="en-US" w:eastAsia="zh-CN"/>
        </w:rPr>
        <w:t>承担</w:t>
      </w:r>
      <w:r>
        <w:rPr>
          <w:rFonts w:hint="default"/>
          <w:lang w:val="en-US" w:eastAsia="zh-CN"/>
        </w:rPr>
        <w:t>。</w:t>
      </w:r>
    </w:p>
    <w:p w14:paraId="456AB34D">
      <w:pPr>
        <w:pStyle w:val="2"/>
        <w:bidi w:val="0"/>
        <w:rPr>
          <w:rFonts w:hint="eastAsia"/>
          <w:lang w:val="en-US" w:eastAsia="zh-CN"/>
        </w:rPr>
      </w:pPr>
      <w:r>
        <w:rPr>
          <w:rFonts w:hint="eastAsia"/>
          <w:lang w:val="en-US" w:eastAsia="zh-CN"/>
        </w:rPr>
        <w:t>质量保证与售后服务</w:t>
      </w:r>
    </w:p>
    <w:p w14:paraId="3134CB5C">
      <w:pPr>
        <w:keepNext w:val="0"/>
        <w:keepLines w:val="0"/>
        <w:pageBreakBefore w:val="0"/>
        <w:widowControl w:val="0"/>
        <w:numPr>
          <w:ilvl w:val="0"/>
          <w:numId w:val="4"/>
        </w:numPr>
        <w:kinsoku/>
        <w:wordWrap/>
        <w:overflowPunct/>
        <w:topLinePunct w:val="0"/>
        <w:autoSpaceDE/>
        <w:autoSpaceDN/>
        <w:bidi w:val="0"/>
        <w:adjustRightInd w:val="0"/>
        <w:snapToGrid w:val="0"/>
        <w:ind w:left="0" w:leftChars="0" w:firstLine="425" w:firstLineChars="0"/>
        <w:textAlignment w:val="auto"/>
        <w:rPr>
          <w:rFonts w:hint="eastAsia"/>
          <w:lang w:val="en-US" w:eastAsia="zh-CN"/>
        </w:rPr>
      </w:pPr>
      <w:r>
        <w:rPr>
          <w:rFonts w:hint="eastAsia"/>
          <w:lang w:val="en-US" w:eastAsia="zh-CN"/>
        </w:rPr>
        <w:t>乙方应在货物发运前对其进行满足运输距离、防潮、防震、防锈和防破损装卸等要求包装，以保证货物安全运达甲方指定地点。</w:t>
      </w:r>
    </w:p>
    <w:p w14:paraId="17329438">
      <w:pPr>
        <w:keepNext w:val="0"/>
        <w:keepLines w:val="0"/>
        <w:pageBreakBefore w:val="0"/>
        <w:widowControl w:val="0"/>
        <w:numPr>
          <w:ilvl w:val="0"/>
          <w:numId w:val="4"/>
        </w:numPr>
        <w:kinsoku/>
        <w:wordWrap/>
        <w:overflowPunct/>
        <w:topLinePunct w:val="0"/>
        <w:autoSpaceDE/>
        <w:autoSpaceDN/>
        <w:bidi w:val="0"/>
        <w:adjustRightInd w:val="0"/>
        <w:snapToGrid w:val="0"/>
        <w:ind w:left="0" w:leftChars="0" w:firstLine="425" w:firstLineChars="0"/>
        <w:textAlignment w:val="auto"/>
        <w:rPr>
          <w:rFonts w:hint="eastAsia"/>
          <w:lang w:val="en-US" w:eastAsia="zh-CN"/>
        </w:rPr>
      </w:pPr>
      <w:r>
        <w:rPr>
          <w:rFonts w:hint="eastAsia"/>
          <w:lang w:val="en-US" w:eastAsia="zh-CN"/>
        </w:rPr>
        <w:t>使用说明书、质量检验证明书、随配附件和工具以及清单一并附于货物内。</w:t>
      </w:r>
    </w:p>
    <w:p w14:paraId="321E2014">
      <w:pPr>
        <w:keepNext w:val="0"/>
        <w:keepLines w:val="0"/>
        <w:pageBreakBefore w:val="0"/>
        <w:widowControl w:val="0"/>
        <w:numPr>
          <w:ilvl w:val="0"/>
          <w:numId w:val="4"/>
        </w:numPr>
        <w:kinsoku/>
        <w:wordWrap/>
        <w:overflowPunct/>
        <w:topLinePunct w:val="0"/>
        <w:autoSpaceDE/>
        <w:autoSpaceDN/>
        <w:bidi w:val="0"/>
        <w:adjustRightInd w:val="0"/>
        <w:snapToGrid w:val="0"/>
        <w:ind w:left="0" w:leftChars="0" w:firstLine="425" w:firstLineChars="0"/>
        <w:textAlignment w:val="auto"/>
        <w:rPr>
          <w:rFonts w:hint="eastAsia"/>
          <w:highlight w:val="none"/>
          <w:lang w:val="en-US" w:eastAsia="zh-CN"/>
        </w:rPr>
      </w:pPr>
      <w:r>
        <w:rPr>
          <w:rFonts w:hint="eastAsia"/>
          <w:highlight w:val="none"/>
          <w:lang w:val="en-US" w:eastAsia="zh-CN"/>
        </w:rPr>
        <w:t>货物在交付甲方前发生的风险均由乙方负责。</w:t>
      </w:r>
    </w:p>
    <w:p w14:paraId="180B79C6">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25" w:firstLineChars="0"/>
        <w:textAlignment w:val="auto"/>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乙方应按</w:t>
      </w:r>
      <w:r>
        <w:rPr>
          <w:rFonts w:hint="eastAsia" w:ascii="Times New Roman" w:hAnsi="Times New Roman" w:cs="Times New Roman"/>
          <w:bCs/>
          <w:color w:val="auto"/>
          <w:sz w:val="24"/>
          <w:highlight w:val="none"/>
          <w:lang w:eastAsia="zh-CN"/>
        </w:rPr>
        <w:t>招标</w:t>
      </w:r>
      <w:r>
        <w:rPr>
          <w:rFonts w:hint="eastAsia" w:ascii="Times New Roman" w:hAnsi="Times New Roman" w:eastAsia="宋体" w:cs="Times New Roman"/>
          <w:bCs/>
          <w:color w:val="auto"/>
          <w:sz w:val="24"/>
          <w:highlight w:val="none"/>
          <w:lang w:eastAsia="zh-CN"/>
        </w:rPr>
        <w:t>文件规定的货物性能、技术要求、质量标准向甲方提供未经使用的全新产品。</w:t>
      </w:r>
    </w:p>
    <w:p w14:paraId="6E401177">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25" w:firstLineChars="0"/>
        <w:textAlignment w:val="auto"/>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乙方提供的货物在质量期内因货物本身的质量问题发生故障，乙方应负责免费更换。对达不到技术要求者，根据实际情况，经双方协商，可按以下办法处理：</w:t>
      </w:r>
    </w:p>
    <w:p w14:paraId="68B40ADE">
      <w:pPr>
        <w:keepNext w:val="0"/>
        <w:keepLines w:val="0"/>
        <w:pageBreakBefore w:val="0"/>
        <w:widowControl w:val="0"/>
        <w:numPr>
          <w:ilvl w:val="0"/>
          <w:numId w:val="5"/>
        </w:numPr>
        <w:kinsoku/>
        <w:wordWrap/>
        <w:overflowPunct/>
        <w:topLinePunct w:val="0"/>
        <w:autoSpaceDE/>
        <w:autoSpaceDN/>
        <w:bidi w:val="0"/>
        <w:adjustRightInd w:val="0"/>
        <w:snapToGrid/>
        <w:spacing w:line="360" w:lineRule="auto"/>
        <w:ind w:left="0" w:leftChars="0" w:firstLine="425" w:firstLineChars="0"/>
        <w:textAlignment w:val="baseline"/>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更换：由乙方承担所发生的全部费用。</w:t>
      </w:r>
    </w:p>
    <w:p w14:paraId="52BECE27">
      <w:pPr>
        <w:keepNext w:val="0"/>
        <w:keepLines w:val="0"/>
        <w:pageBreakBefore w:val="0"/>
        <w:widowControl w:val="0"/>
        <w:numPr>
          <w:ilvl w:val="0"/>
          <w:numId w:val="5"/>
        </w:numPr>
        <w:kinsoku/>
        <w:wordWrap/>
        <w:overflowPunct/>
        <w:topLinePunct w:val="0"/>
        <w:autoSpaceDE/>
        <w:autoSpaceDN/>
        <w:bidi w:val="0"/>
        <w:adjustRightInd w:val="0"/>
        <w:snapToGrid/>
        <w:spacing w:line="360" w:lineRule="auto"/>
        <w:ind w:left="0" w:leftChars="0" w:firstLine="425" w:firstLineChars="0"/>
        <w:textAlignment w:val="baseline"/>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贬值处理：由甲乙双方合议定价。</w:t>
      </w:r>
    </w:p>
    <w:p w14:paraId="69991DF9">
      <w:pPr>
        <w:keepNext w:val="0"/>
        <w:keepLines w:val="0"/>
        <w:pageBreakBefore w:val="0"/>
        <w:widowControl w:val="0"/>
        <w:numPr>
          <w:ilvl w:val="0"/>
          <w:numId w:val="5"/>
        </w:numPr>
        <w:kinsoku/>
        <w:wordWrap/>
        <w:overflowPunct/>
        <w:topLinePunct w:val="0"/>
        <w:autoSpaceDE/>
        <w:autoSpaceDN/>
        <w:bidi w:val="0"/>
        <w:adjustRightInd w:val="0"/>
        <w:snapToGrid/>
        <w:spacing w:line="360" w:lineRule="auto"/>
        <w:ind w:left="0" w:leftChars="0" w:firstLine="425" w:firstLineChars="0"/>
        <w:textAlignment w:val="baseline"/>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退货处理：乙方应退还甲方支付的合同款，同时应承担该货物的直接费用（运输、保险、检验、货款利息及银行手续费等）。</w:t>
      </w:r>
    </w:p>
    <w:p w14:paraId="3733183A">
      <w:pPr>
        <w:spacing w:line="360" w:lineRule="auto"/>
        <w:ind w:firstLine="480" w:firstLineChars="200"/>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如在使用过程中发生质量问题，乙方在接到甲方通知后在____</w:t>
      </w:r>
      <w:r>
        <w:rPr>
          <w:rFonts w:hint="eastAsia" w:ascii="Times New Roman" w:hAnsi="Times New Roman" w:eastAsia="宋体" w:cs="Times New Roman"/>
          <w:bCs/>
          <w:color w:val="auto"/>
          <w:sz w:val="24"/>
          <w:highlight w:val="none"/>
          <w:lang w:val="en-US" w:eastAsia="zh-CN"/>
        </w:rPr>
        <w:t>2</w:t>
      </w:r>
      <w:r>
        <w:rPr>
          <w:rFonts w:hint="eastAsia" w:ascii="Times New Roman" w:hAnsi="Times New Roman" w:eastAsia="宋体" w:cs="Times New Roman"/>
          <w:bCs/>
          <w:color w:val="auto"/>
          <w:sz w:val="24"/>
          <w:highlight w:val="none"/>
          <w:lang w:eastAsia="zh-CN"/>
        </w:rPr>
        <w:t>___小时内到达甲方现场。</w:t>
      </w:r>
    </w:p>
    <w:p w14:paraId="6B86CEF8">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25" w:firstLineChars="0"/>
        <w:textAlignment w:val="auto"/>
        <w:rPr>
          <w:rFonts w:hint="eastAsia" w:ascii="Times New Roman" w:hAnsi="Times New Roman" w:eastAsia="宋体" w:cs="Times New Roman"/>
          <w:bCs/>
          <w:color w:val="auto"/>
          <w:sz w:val="24"/>
          <w:highlight w:val="none"/>
          <w:lang w:eastAsia="zh-CN"/>
        </w:rPr>
      </w:pPr>
      <w:r>
        <w:rPr>
          <w:rFonts w:hint="eastAsia" w:ascii="Times New Roman" w:hAnsi="Times New Roman" w:eastAsia="宋体" w:cs="Times New Roman"/>
          <w:bCs/>
          <w:color w:val="auto"/>
          <w:sz w:val="24"/>
          <w:highlight w:val="none"/>
          <w:lang w:eastAsia="zh-CN"/>
        </w:rPr>
        <w:t>自验收之日起，质保期1年。在质保期内，乙方应对货物出现的质量及安全问题负责处理解决并承担一切费用。</w:t>
      </w:r>
    </w:p>
    <w:p w14:paraId="3337390F">
      <w:pPr>
        <w:pStyle w:val="2"/>
        <w:bidi w:val="0"/>
        <w:rPr>
          <w:rFonts w:hint="eastAsia"/>
          <w:lang w:val="en-US" w:eastAsia="zh-CN"/>
        </w:rPr>
      </w:pPr>
      <w:r>
        <w:rPr>
          <w:rFonts w:hint="eastAsia"/>
          <w:lang w:val="en-US" w:eastAsia="zh-CN"/>
        </w:rPr>
        <w:t>合同纠纷的解决</w:t>
      </w:r>
    </w:p>
    <w:p w14:paraId="23192FE8">
      <w:pPr>
        <w:spacing w:line="360" w:lineRule="auto"/>
        <w:ind w:firstLine="420"/>
        <w:rPr>
          <w:rStyle w:val="25"/>
          <w:rFonts w:hint="eastAsia" w:ascii="宋体" w:hAnsi="宋体" w:eastAsia="宋体" w:cs="宋体"/>
          <w:sz w:val="24"/>
          <w:szCs w:val="24"/>
        </w:rPr>
      </w:pPr>
      <w:r>
        <w:rPr>
          <w:rStyle w:val="25"/>
          <w:rFonts w:hint="eastAsia" w:ascii="宋体" w:hAnsi="宋体" w:eastAsia="宋体" w:cs="宋体"/>
          <w:sz w:val="24"/>
          <w:szCs w:val="24"/>
        </w:rPr>
        <w:t>本协议的成立、效力、解释、履行、签署、修订和终止以及争议的解决均应适用中华人民共和国法律。</w:t>
      </w:r>
    </w:p>
    <w:p w14:paraId="2BE9DFDF">
      <w:pPr>
        <w:spacing w:line="360" w:lineRule="auto"/>
        <w:ind w:firstLine="420"/>
        <w:rPr>
          <w:rStyle w:val="25"/>
          <w:rFonts w:hint="eastAsia" w:ascii="宋体" w:hAnsi="宋体" w:eastAsia="宋体" w:cs="宋体"/>
          <w:sz w:val="24"/>
          <w:szCs w:val="24"/>
        </w:rPr>
      </w:pPr>
      <w:r>
        <w:rPr>
          <w:rStyle w:val="25"/>
          <w:rFonts w:hint="eastAsia" w:ascii="宋体" w:hAnsi="宋体" w:eastAsia="宋体" w:cs="宋体"/>
          <w:sz w:val="24"/>
          <w:szCs w:val="24"/>
        </w:rPr>
        <w:t>如果任何争议或权利要求起因于本协议或与本协议有关或与本协议的解释、违约、终止或效力有关，都应由双方通过友好协商解决。协商应在一方向另一方送达关于协商的书面要求后立即开始。</w:t>
      </w:r>
    </w:p>
    <w:p w14:paraId="398644FA">
      <w:pPr>
        <w:spacing w:line="360" w:lineRule="auto"/>
        <w:ind w:firstLine="420"/>
        <w:rPr>
          <w:rStyle w:val="25"/>
          <w:rFonts w:hint="eastAsia" w:ascii="宋体" w:hAnsi="宋体" w:eastAsia="宋体" w:cs="宋体"/>
          <w:sz w:val="24"/>
          <w:szCs w:val="24"/>
        </w:rPr>
      </w:pPr>
      <w:r>
        <w:rPr>
          <w:rStyle w:val="25"/>
          <w:rFonts w:hint="eastAsia" w:ascii="宋体" w:hAnsi="宋体" w:eastAsia="宋体" w:cs="宋体"/>
          <w:sz w:val="24"/>
          <w:szCs w:val="24"/>
        </w:rPr>
        <w:t>如果在一方提出协商要求后的10天内，双方通过协商不能解决争议，则双方同意按以下方式解决：</w:t>
      </w:r>
    </w:p>
    <w:p w14:paraId="339B5463">
      <w:pPr>
        <w:spacing w:line="360" w:lineRule="auto"/>
        <w:ind w:firstLine="420"/>
        <w:rPr>
          <w:rStyle w:val="25"/>
          <w:rFonts w:hint="eastAsia" w:ascii="宋体" w:hAnsi="宋体" w:eastAsia="宋体" w:cs="宋体"/>
          <w:b/>
          <w:bCs/>
          <w:sz w:val="24"/>
          <w:szCs w:val="24"/>
        </w:rPr>
      </w:pPr>
      <w:r>
        <w:rPr>
          <w:rStyle w:val="25"/>
          <w:rFonts w:hint="eastAsia" w:ascii="宋体" w:hAnsi="宋体" w:eastAsia="宋体" w:cs="宋体"/>
          <w:b/>
          <w:bCs/>
          <w:sz w:val="24"/>
          <w:szCs w:val="24"/>
        </w:rPr>
        <w:t>向甲方住所地有管辖权的人民法院提起诉讼。</w:t>
      </w:r>
    </w:p>
    <w:p w14:paraId="0F872543">
      <w:pPr>
        <w:spacing w:line="360" w:lineRule="auto"/>
        <w:ind w:firstLine="420"/>
        <w:rPr>
          <w:rStyle w:val="25"/>
          <w:rFonts w:hint="eastAsia" w:ascii="宋体" w:hAnsi="宋体" w:eastAsia="宋体" w:cs="宋体"/>
          <w:sz w:val="24"/>
          <w:szCs w:val="24"/>
        </w:rPr>
      </w:pPr>
      <w:r>
        <w:rPr>
          <w:rStyle w:val="25"/>
          <w:rFonts w:hint="eastAsia" w:ascii="宋体" w:hAnsi="宋体" w:eastAsia="宋体" w:cs="宋体"/>
          <w:sz w:val="24"/>
          <w:szCs w:val="24"/>
        </w:rPr>
        <w:t>诉讼进行过程中，除双方有争议的部分外，本协议其他部分仍然有效，双方应继续履行。</w:t>
      </w:r>
    </w:p>
    <w:p w14:paraId="1639F81D">
      <w:pPr>
        <w:spacing w:line="360" w:lineRule="auto"/>
        <w:ind w:firstLine="420"/>
        <w:rPr>
          <w:rStyle w:val="25"/>
          <w:rFonts w:hint="eastAsia" w:ascii="宋体" w:hAnsi="宋体" w:eastAsia="宋体" w:cs="宋体"/>
          <w:sz w:val="24"/>
          <w:szCs w:val="24"/>
        </w:rPr>
      </w:pPr>
      <w:r>
        <w:rPr>
          <w:rStyle w:val="25"/>
          <w:rFonts w:hint="eastAsia" w:ascii="宋体" w:hAnsi="宋体" w:eastAsia="宋体" w:cs="宋体"/>
          <w:sz w:val="24"/>
          <w:szCs w:val="24"/>
        </w:rPr>
        <w:t>本协议全部或部分无效的，不影响本条的效力。</w:t>
      </w:r>
    </w:p>
    <w:p w14:paraId="65F62988">
      <w:pPr>
        <w:spacing w:line="360" w:lineRule="auto"/>
        <w:ind w:firstLine="420"/>
        <w:rPr>
          <w:rStyle w:val="25"/>
          <w:rFonts w:hint="eastAsia" w:ascii="宋体" w:hAnsi="宋体" w:eastAsia="宋体" w:cs="宋体"/>
          <w:sz w:val="24"/>
          <w:szCs w:val="24"/>
        </w:rPr>
      </w:pPr>
      <w:r>
        <w:rPr>
          <w:rStyle w:val="25"/>
          <w:rFonts w:hint="eastAsia" w:ascii="宋体" w:hAnsi="宋体" w:eastAsia="宋体" w:cs="宋体"/>
          <w:sz w:val="24"/>
          <w:szCs w:val="24"/>
        </w:rPr>
        <w:t>若因乙方原因给甲方造成损失的，包括但不限于甲方提起诉讼所发生的诉讼费、律师费、交通费、通讯费、差旅费等支出，均应由乙方承担。</w:t>
      </w:r>
    </w:p>
    <w:p w14:paraId="71A7D944">
      <w:pPr>
        <w:pStyle w:val="2"/>
        <w:bidi w:val="0"/>
        <w:rPr>
          <w:rFonts w:hint="eastAsia"/>
          <w:lang w:val="en-US" w:eastAsia="zh-CN"/>
        </w:rPr>
      </w:pPr>
      <w:r>
        <w:rPr>
          <w:rFonts w:hint="eastAsia"/>
          <w:lang w:val="en-US" w:eastAsia="zh-CN"/>
        </w:rPr>
        <w:t>违约责任</w:t>
      </w:r>
    </w:p>
    <w:p w14:paraId="537BF1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1.双方须遵守本合同的约定，由于乙方违约，造成本合同不能履行或不能完全履行时，由乙方承担违约责任并赔偿</w:t>
      </w:r>
      <w:r>
        <w:rPr>
          <w:rFonts w:hint="eastAsia" w:ascii="宋体" w:hAnsi="宋体" w:cs="宋体"/>
          <w:b w:val="0"/>
          <w:bCs w:val="0"/>
          <w:sz w:val="24"/>
          <w:szCs w:val="24"/>
          <w:lang w:val="en-US" w:eastAsia="zh-CN"/>
        </w:rPr>
        <w:t>甲方</w:t>
      </w:r>
      <w:r>
        <w:rPr>
          <w:rFonts w:hint="eastAsia" w:ascii="宋体" w:hAnsi="宋体" w:eastAsia="宋体" w:cs="宋体"/>
          <w:b w:val="0"/>
          <w:bCs w:val="0"/>
          <w:sz w:val="24"/>
          <w:szCs w:val="24"/>
          <w:lang w:val="en-US" w:eastAsia="zh-CN"/>
        </w:rPr>
        <w:t xml:space="preserve">因此遭受的一切经济损失（包括但不限于诉讼费、律师费、保全费、鉴定费等）。 </w:t>
      </w:r>
    </w:p>
    <w:p w14:paraId="434052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若一方因不可抗力，战争、地震、洪水、瘟疫、恐怖活动等，延期或不能履行本合同的，不承担违约责任，但遭受不可抗力的一方，必须及时将该情况以正式书面形式于不可抗力发生之日起5个工作日内通知对方。双方应根据不可抗力对合同的影响程度，协商延期履行、部分履行或不履行本合同。</w:t>
      </w:r>
    </w:p>
    <w:p w14:paraId="5D9399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甲方未按照约定期限付款的，乙方有权要求甲方更正并给予甲方6个月宽限期。即，甲方应自收到乙方更正通知之日起6个月内向乙方付款，甲方在6个月内付款的，乙方自愿免除甲方逾期付款违约责任。否则，应自宽限期满之日起计算逾期付款违约金，逾期付款违约金以应付未付合同金额为基数，按全国银行间同业拆借中心公布的一年期贷款市场报价利率计算；逾期1年内，违约金总额最高不超过合同总金额的1%，逾期超过1年的，违约金总额最高不超过合同总金额的3%。若乙方未向甲方书面提出更正通知，视为乙方自行放弃向甲方主张逾期付款违约责任。</w:t>
      </w:r>
    </w:p>
    <w:p w14:paraId="752FD7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auto"/>
          <w:w w:val="100"/>
          <w:sz w:val="24"/>
          <w:szCs w:val="24"/>
          <w:highlight w:val="none"/>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乙方所提供的服务及货物的品种、型号、规格、技术参数、质量不符合合同规定及</w:t>
      </w:r>
      <w:r>
        <w:rPr>
          <w:rFonts w:hint="eastAsia" w:ascii="宋体" w:hAnsi="宋体" w:cs="宋体"/>
          <w:b w:val="0"/>
          <w:bCs w:val="0"/>
          <w:sz w:val="24"/>
          <w:szCs w:val="24"/>
          <w:lang w:val="en-US" w:eastAsia="zh-CN"/>
        </w:rPr>
        <w:t>招标</w:t>
      </w:r>
      <w:r>
        <w:rPr>
          <w:rFonts w:hint="eastAsia" w:ascii="宋体" w:hAnsi="宋体" w:eastAsia="宋体" w:cs="宋体"/>
          <w:b w:val="0"/>
          <w:bCs w:val="0"/>
          <w:sz w:val="24"/>
          <w:szCs w:val="24"/>
          <w:lang w:val="en-US" w:eastAsia="zh-CN"/>
        </w:rPr>
        <w:t>文件规定标准的，甲方有权拒收该货物，乙方愿意更换货物但逾期交货的，按乙方逾期交货处理。乙方拒绝更换货物的，甲方可单方面解除合同，并要求乙方向甲方支付本合同总价款10%的违约金，并承担因此给甲方造成的一切损失。乙方违约金不足以弥补甲方实际损失的，乙方应补足差额；甲方亦有权直接从未付款项中扣除违约金，不足部分乙方应补足</w:t>
      </w:r>
      <w:r>
        <w:rPr>
          <w:rFonts w:hint="eastAsia" w:ascii="宋体" w:hAnsi="宋体" w:cs="宋体"/>
          <w:color w:val="auto"/>
          <w:w w:val="100"/>
          <w:sz w:val="24"/>
          <w:szCs w:val="24"/>
          <w:highlight w:val="none"/>
          <w:lang w:val="en-US" w:eastAsia="zh-CN"/>
        </w:rPr>
        <w:t>。</w:t>
      </w:r>
    </w:p>
    <w:p w14:paraId="754C42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auto"/>
          <w:w w:val="100"/>
          <w:sz w:val="24"/>
          <w:szCs w:val="24"/>
          <w:highlight w:val="none"/>
          <w:lang w:val="en-US" w:eastAsia="zh-CN"/>
        </w:rPr>
      </w:pPr>
      <w:r>
        <w:rPr>
          <w:rFonts w:hint="eastAsia" w:ascii="宋体" w:hAnsi="宋体" w:cs="宋体"/>
          <w:color w:val="auto"/>
          <w:w w:val="100"/>
          <w:sz w:val="24"/>
          <w:szCs w:val="24"/>
          <w:highlight w:val="none"/>
          <w:lang w:val="en-US" w:eastAsia="zh-CN"/>
        </w:rPr>
        <w:t>5.乙方未履行本协议项下的任何一项条款均视为违约。乙方在收到对方的具体说明违约的书面通知后，如确认违约行为实际存在，则应在10日内对违约行为予以纠正并书面通知甲方；如认为违约行为不存在，则应在10日内向甲方提出书面异议或说明，在此情况下，双方可以就此问题进行协商，协商不成的，按本协议争议解决条款解决。乙方应承担因自己的违约行为而给甲方造成的实际损失。本协议另有约定的，从其约定。</w:t>
      </w:r>
    </w:p>
    <w:p w14:paraId="6937A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宋体" w:hAnsi="宋体" w:cs="宋体"/>
          <w:color w:val="auto"/>
          <w:w w:val="100"/>
          <w:sz w:val="24"/>
          <w:szCs w:val="24"/>
          <w:highlight w:val="none"/>
          <w:lang w:val="en-US" w:eastAsia="zh-CN"/>
        </w:rPr>
      </w:pPr>
      <w:r>
        <w:rPr>
          <w:rFonts w:hint="eastAsia" w:ascii="宋体" w:hAnsi="宋体" w:cs="宋体"/>
          <w:color w:val="auto"/>
          <w:w w:val="100"/>
          <w:sz w:val="24"/>
          <w:szCs w:val="24"/>
          <w:highlight w:val="none"/>
          <w:lang w:val="en-US" w:eastAsia="zh-CN"/>
        </w:rPr>
        <w:t>6.除法律另有规定或本协议另有约定外，乙方不履行本协议项下的义务或者履行义务不符合本协议约定的，甲方有权要求乙方承担继续履行、及时采取补救措施或者赔偿损失等违约责任。</w:t>
      </w:r>
    </w:p>
    <w:p w14:paraId="2F35284A">
      <w:pPr>
        <w:pStyle w:val="2"/>
        <w:bidi w:val="0"/>
        <w:rPr>
          <w:rFonts w:hint="eastAsia"/>
          <w:lang w:val="en-US" w:eastAsia="zh-CN"/>
        </w:rPr>
      </w:pPr>
      <w:r>
        <w:rPr>
          <w:rFonts w:hint="eastAsia"/>
          <w:lang w:val="en-US" w:eastAsia="zh-CN"/>
        </w:rPr>
        <w:t>特别约定</w:t>
      </w:r>
    </w:p>
    <w:p w14:paraId="14D6F940">
      <w:pPr>
        <w:spacing w:line="36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u w:val="single"/>
        </w:rPr>
        <w:t>1.</w:t>
      </w:r>
      <w:r>
        <w:rPr>
          <w:rFonts w:hint="eastAsia" w:ascii="宋体" w:hAnsi="宋体" w:eastAsia="宋体" w:cs="宋体"/>
          <w:b/>
          <w:sz w:val="24"/>
          <w:szCs w:val="24"/>
          <w:u w:val="single"/>
        </w:rPr>
        <w:t>甲方</w:t>
      </w:r>
      <w:r>
        <w:rPr>
          <w:rFonts w:hint="eastAsia" w:ascii="宋体" w:hAnsi="宋体" w:eastAsia="宋体" w:cs="宋体"/>
          <w:b/>
          <w:bCs/>
          <w:sz w:val="24"/>
          <w:szCs w:val="24"/>
          <w:u w:val="single"/>
        </w:rPr>
        <w:t>向乙方支付合同价款以甲方收到授予甲方该项业务合同的【</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】合同价款为前提条件，且甲方向乙方支付的合同价款比例不超过授予甲方该项业务合同的【</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】向甲方的支付比例。</w:t>
      </w:r>
    </w:p>
    <w:p w14:paraId="6A42A9E5">
      <w:pPr>
        <w:spacing w:line="36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u w:val="single"/>
        </w:rPr>
        <w:t>1.1乙方已仔细阅读、认真了解并完全理解本条款内容，充分知悉【</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】按期向甲方付款是本合同项下款项得以支付的基础和前提，以及同意接受【</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】未按期付款导致本合同项下款项不能按期支付的商业风险以及可能让渡的时间利益，不存在有歧义或不清楚的地方。若本条款约定的条件成立，乙方自愿遵守本条款的约定，积极配合甲方向【</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】进行维权，并承诺在【</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】付款前放弃就本合同项下款项向甲方主张违约责任的权利。</w:t>
      </w:r>
    </w:p>
    <w:p w14:paraId="67BA0FE9">
      <w:pPr>
        <w:spacing w:line="36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u w:val="single"/>
        </w:rPr>
        <w:t>1.2甲方承诺在【</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】付款迟延的情况下，甲方将积极向【</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】主张权利，催告其履行付款义务，乙方同意甲方以发送催告函、催款邮件、律师函等任一方式向【</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】催告履行义务即视为甲方已积极向【</w:t>
      </w:r>
      <w:r>
        <w:rPr>
          <w:rFonts w:hint="eastAsia" w:ascii="宋体" w:hAnsi="宋体" w:cs="宋体"/>
          <w:b/>
          <w:bCs/>
          <w:sz w:val="24"/>
          <w:szCs w:val="24"/>
          <w:u w:val="single"/>
          <w:lang w:eastAsia="zh-CN"/>
        </w:rPr>
        <w:t>XXXX</w:t>
      </w:r>
      <w:r>
        <w:rPr>
          <w:rFonts w:hint="eastAsia" w:ascii="宋体" w:hAnsi="宋体" w:eastAsia="宋体" w:cs="宋体"/>
          <w:b/>
          <w:bCs/>
          <w:sz w:val="24"/>
          <w:szCs w:val="24"/>
          <w:u w:val="single"/>
        </w:rPr>
        <w:t>】主张权利。</w:t>
      </w:r>
    </w:p>
    <w:p w14:paraId="61658576">
      <w:pPr>
        <w:spacing w:line="36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u w:val="single"/>
        </w:rPr>
        <w:t>1.3乙方签署本合同即视为乙方确认不存在导致该合同条款无效、被撤销或不能成为合同内容的情形。</w:t>
      </w:r>
    </w:p>
    <w:p w14:paraId="5C4735BA">
      <w:pPr>
        <w:pStyle w:val="2"/>
        <w:bidi w:val="0"/>
        <w:rPr>
          <w:rFonts w:hint="default"/>
          <w:lang w:val="en-US" w:eastAsia="zh-CN"/>
        </w:rPr>
      </w:pPr>
      <w:r>
        <w:rPr>
          <w:rFonts w:hint="eastAsia"/>
          <w:lang w:val="en-US" w:eastAsia="zh-CN"/>
        </w:rPr>
        <w:t>送达条款</w:t>
      </w:r>
    </w:p>
    <w:p w14:paraId="67F107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1.本合同项下</w:t>
      </w:r>
      <w:r>
        <w:rPr>
          <w:rFonts w:hint="eastAsia" w:ascii="宋体" w:hAnsi="宋体" w:cs="宋体"/>
          <w:sz w:val="24"/>
          <w:szCs w:val="24"/>
          <w:lang w:eastAsia="zh-CN"/>
        </w:rPr>
        <w:t>乙方</w:t>
      </w:r>
      <w:r>
        <w:rPr>
          <w:rFonts w:hint="eastAsia" w:ascii="宋体" w:hAnsi="宋体" w:eastAsia="宋体" w:cs="宋体"/>
          <w:sz w:val="24"/>
          <w:szCs w:val="24"/>
        </w:rPr>
        <w:t>向对方发出的通知、信件、电子邮件等，均须采取书面形式。一方当事人变更联系方式的，应当在变更后3日内及时书面通知对方当事人，对方当事人实际收到变更通知前的送达仍为有效送达，电子送达与书面送达具有同等法律效力。</w:t>
      </w:r>
    </w:p>
    <w:p w14:paraId="01F80B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甲方联系人：</w:t>
      </w:r>
      <w:r>
        <w:rPr>
          <w:rFonts w:hint="eastAsia" w:ascii="宋体" w:hAnsi="宋体" w:cs="宋体"/>
          <w:sz w:val="24"/>
          <w:szCs w:val="24"/>
          <w:lang w:val="en-US" w:eastAsia="zh-CN"/>
        </w:rPr>
        <w:t>XXX</w:t>
      </w:r>
      <w:r>
        <w:rPr>
          <w:rFonts w:hint="eastAsia" w:ascii="宋体" w:hAnsi="宋体" w:eastAsia="宋体" w:cs="宋体"/>
          <w:sz w:val="24"/>
          <w:szCs w:val="24"/>
        </w:rPr>
        <w:t>，联系电话：</w:t>
      </w:r>
      <w:r>
        <w:rPr>
          <w:rFonts w:hint="eastAsia" w:ascii="宋体" w:hAnsi="宋体" w:cs="宋体"/>
          <w:sz w:val="24"/>
          <w:szCs w:val="24"/>
          <w:lang w:val="en-US" w:eastAsia="zh-CN"/>
        </w:rPr>
        <w:t>XXXXXX</w:t>
      </w:r>
      <w:r>
        <w:rPr>
          <w:rFonts w:hint="eastAsia" w:ascii="宋体" w:hAnsi="宋体" w:eastAsia="宋体" w:cs="宋体"/>
          <w:sz w:val="24"/>
          <w:szCs w:val="24"/>
        </w:rPr>
        <w:t>，联系地址：</w:t>
      </w:r>
      <w:r>
        <w:rPr>
          <w:rFonts w:hint="eastAsia" w:ascii="宋体" w:hAnsi="宋体" w:cs="宋体"/>
          <w:sz w:val="24"/>
          <w:szCs w:val="24"/>
          <w:lang w:val="en-US" w:eastAsia="zh-CN"/>
        </w:rPr>
        <w:t>XXXXXX</w:t>
      </w:r>
      <w:r>
        <w:rPr>
          <w:rFonts w:hint="eastAsia" w:ascii="宋体" w:hAnsi="宋体" w:eastAsia="宋体" w:cs="宋体"/>
          <w:sz w:val="24"/>
          <w:szCs w:val="24"/>
        </w:rPr>
        <w:t>，邮编：</w:t>
      </w:r>
      <w:r>
        <w:rPr>
          <w:rFonts w:hint="eastAsia" w:ascii="宋体" w:hAnsi="宋体" w:cs="宋体"/>
          <w:sz w:val="24"/>
          <w:szCs w:val="24"/>
          <w:lang w:val="en-US" w:eastAsia="zh-CN"/>
        </w:rPr>
        <w:t>XXXXX</w:t>
      </w:r>
      <w:r>
        <w:rPr>
          <w:rFonts w:hint="eastAsia" w:ascii="宋体" w:hAnsi="宋体" w:eastAsia="宋体" w:cs="宋体"/>
          <w:sz w:val="24"/>
          <w:szCs w:val="24"/>
        </w:rPr>
        <w:t>，传真：</w:t>
      </w:r>
      <w:r>
        <w:rPr>
          <w:rFonts w:hint="eastAsia" w:ascii="宋体" w:hAnsi="宋体" w:cs="宋体"/>
          <w:sz w:val="24"/>
          <w:szCs w:val="24"/>
          <w:lang w:val="en-US" w:eastAsia="zh-CN"/>
        </w:rPr>
        <w:t>XXXXXX</w:t>
      </w:r>
      <w:r>
        <w:rPr>
          <w:rFonts w:hint="eastAsia" w:ascii="宋体" w:hAnsi="宋体" w:eastAsia="宋体" w:cs="宋体"/>
          <w:sz w:val="24"/>
          <w:szCs w:val="24"/>
        </w:rPr>
        <w:t>，电子邮箱：</w:t>
      </w:r>
      <w:r>
        <w:rPr>
          <w:rFonts w:hint="eastAsia" w:ascii="宋体" w:hAnsi="宋体" w:cs="宋体"/>
          <w:sz w:val="24"/>
          <w:szCs w:val="24"/>
          <w:lang w:val="en-US" w:eastAsia="zh-CN"/>
        </w:rPr>
        <w:t>XXXXX</w:t>
      </w:r>
      <w:r>
        <w:rPr>
          <w:rFonts w:hint="eastAsia" w:ascii="宋体" w:hAnsi="宋体" w:eastAsia="宋体" w:cs="宋体"/>
          <w:sz w:val="24"/>
          <w:szCs w:val="24"/>
        </w:rPr>
        <w:t>。</w:t>
      </w:r>
    </w:p>
    <w:p w14:paraId="6B9BC7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乙方联系人：×××，联系电话：×××，联系地址：×××，邮编：×××，传真：×××，电子邮箱：×××。</w:t>
      </w:r>
    </w:p>
    <w:p w14:paraId="53E627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2.双方将按如下规定确定通知被视为正式送达的日期：以专人递送的，接收人签收之日视为送达；</w:t>
      </w:r>
    </w:p>
    <w:p w14:paraId="0AC2A8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2.1以传真方式发出的，以发件方发送后打印出的发送确认单所示时间视为送达；</w:t>
      </w:r>
    </w:p>
    <w:p w14:paraId="691A04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以特快专递形式发出的，发往本市内的，发出后第【2】日视为送达。发往国内其他地区的，发出后第【3】日视为送达。发往港、澳、台地区的，发出后第【7】日视为送达。发往境外其他国家或地区的，发出后第【10】日视为送达；</w:t>
      </w:r>
    </w:p>
    <w:p w14:paraId="648B31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以挂号信方式发出的，发往本市内的，邮寄后第【7】日视为送达。发往国内其他地区的，邮寄后第【15】日视为送达。发往港、澳、台地区的，邮寄后第【30】日为视为送达。发往境外其他国家或地区的，邮寄后第【45】日为视为送达。</w:t>
      </w:r>
    </w:p>
    <w:p w14:paraId="4D26D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2.4以电子邮件发出的，自前述电子文件内容在发送方正确填写地址且未被系统退回的情况下，视为进入对方数据电文接收系统即视为送达。若送达日为非工作日，则视为在下一工作日送达。</w:t>
      </w:r>
    </w:p>
    <w:p w14:paraId="49AE74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3.本条第一款约定的联系方式亦为双方工作联系往来、法律文书及争议解决时人民法院和/或仲裁机构的法律文书送达地址。</w:t>
      </w:r>
    </w:p>
    <w:p w14:paraId="023CE0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4.合同送达条款与争议解决条款均为独立条款，不受合同整体或其他条款的效力的影响。即使本合同变更、撤销、解除、终止或认定无效的，该条款约定依然有效。</w:t>
      </w:r>
    </w:p>
    <w:p w14:paraId="0B654492">
      <w:pPr>
        <w:pStyle w:val="2"/>
        <w:bidi w:val="0"/>
        <w:rPr>
          <w:rFonts w:hint="eastAsia"/>
          <w:lang w:val="en-US" w:eastAsia="zh-CN"/>
        </w:rPr>
      </w:pPr>
      <w:r>
        <w:rPr>
          <w:rFonts w:hint="eastAsia"/>
          <w:lang w:val="en-US" w:eastAsia="zh-CN"/>
        </w:rPr>
        <w:t>知识产权</w:t>
      </w:r>
    </w:p>
    <w:p w14:paraId="5E31D22F">
      <w:pPr>
        <w:spacing w:line="360" w:lineRule="auto"/>
        <w:ind w:firstLine="480" w:firstLineChars="200"/>
        <w:rPr>
          <w:rStyle w:val="25"/>
          <w:rFonts w:hint="eastAsia" w:ascii="宋体" w:hAnsi="宋体" w:eastAsia="宋体" w:cs="宋体"/>
          <w:sz w:val="24"/>
          <w:szCs w:val="24"/>
        </w:rPr>
      </w:pPr>
      <w:r>
        <w:rPr>
          <w:rStyle w:val="25"/>
          <w:rFonts w:hint="eastAsia" w:ascii="宋体" w:hAnsi="宋体" w:eastAsia="宋体" w:cs="宋体"/>
          <w:sz w:val="24"/>
          <w:szCs w:val="24"/>
        </w:rPr>
        <w:t>1</w:t>
      </w:r>
      <w:r>
        <w:rPr>
          <w:rStyle w:val="25"/>
          <w:rFonts w:hint="eastAsia" w:ascii="宋体" w:hAnsi="宋体" w:cs="宋体"/>
          <w:sz w:val="24"/>
          <w:szCs w:val="24"/>
          <w:lang w:eastAsia="zh-CN"/>
        </w:rPr>
        <w:t>、</w:t>
      </w:r>
      <w:r>
        <w:rPr>
          <w:rStyle w:val="25"/>
          <w:rFonts w:hint="eastAsia" w:ascii="宋体" w:hAnsi="宋体" w:eastAsia="宋体" w:cs="宋体"/>
          <w:sz w:val="24"/>
          <w:szCs w:val="24"/>
        </w:rPr>
        <w:t>乙方保证对其销售的产品有关的开发维护、系统运行等均不侵犯任何第三方合法权益。</w:t>
      </w:r>
    </w:p>
    <w:p w14:paraId="067A0E20">
      <w:pPr>
        <w:spacing w:line="360" w:lineRule="auto"/>
        <w:ind w:firstLine="480" w:firstLineChars="200"/>
        <w:rPr>
          <w:rStyle w:val="25"/>
          <w:rFonts w:hint="eastAsia" w:ascii="宋体" w:hAnsi="宋体" w:eastAsia="宋体" w:cs="宋体"/>
          <w:sz w:val="24"/>
          <w:szCs w:val="24"/>
        </w:rPr>
      </w:pPr>
      <w:r>
        <w:rPr>
          <w:rStyle w:val="25"/>
          <w:rFonts w:hint="eastAsia" w:ascii="宋体" w:hAnsi="宋体" w:eastAsia="宋体" w:cs="宋体"/>
          <w:sz w:val="24"/>
          <w:szCs w:val="24"/>
        </w:rPr>
        <w:t>2</w:t>
      </w:r>
      <w:r>
        <w:rPr>
          <w:rStyle w:val="25"/>
          <w:rFonts w:hint="eastAsia" w:ascii="宋体" w:hAnsi="宋体" w:cs="宋体"/>
          <w:sz w:val="24"/>
          <w:szCs w:val="24"/>
          <w:lang w:eastAsia="zh-CN"/>
        </w:rPr>
        <w:t>、</w:t>
      </w:r>
      <w:r>
        <w:rPr>
          <w:rStyle w:val="25"/>
          <w:rFonts w:hint="eastAsia" w:ascii="宋体" w:hAnsi="宋体" w:eastAsia="宋体" w:cs="宋体"/>
          <w:sz w:val="24"/>
          <w:szCs w:val="24"/>
        </w:rPr>
        <w:t>当产品侵犯或引起对第三方的知识产权（包括但不限于专利权、著作权、数据库权利、外观设计权利、商业秘密等）的侵犯时，乙方应就各种索赔或权利主张为甲方抗辩并赔偿由此产生的一切损失。</w:t>
      </w:r>
    </w:p>
    <w:p w14:paraId="46CC823C">
      <w:pPr>
        <w:spacing w:line="360" w:lineRule="auto"/>
        <w:ind w:firstLine="480" w:firstLineChars="200"/>
        <w:rPr>
          <w:rStyle w:val="25"/>
          <w:rFonts w:hint="eastAsia" w:ascii="宋体" w:hAnsi="宋体" w:eastAsia="宋体" w:cs="宋体"/>
          <w:sz w:val="24"/>
          <w:szCs w:val="24"/>
        </w:rPr>
      </w:pPr>
      <w:r>
        <w:rPr>
          <w:rStyle w:val="25"/>
          <w:rFonts w:hint="eastAsia" w:ascii="宋体" w:hAnsi="宋体" w:eastAsia="宋体" w:cs="宋体"/>
          <w:sz w:val="24"/>
          <w:szCs w:val="24"/>
        </w:rPr>
        <w:t>3</w:t>
      </w:r>
      <w:r>
        <w:rPr>
          <w:rStyle w:val="25"/>
          <w:rFonts w:hint="eastAsia" w:ascii="宋体" w:hAnsi="宋体" w:cs="宋体"/>
          <w:sz w:val="24"/>
          <w:szCs w:val="24"/>
          <w:lang w:eastAsia="zh-CN"/>
        </w:rPr>
        <w:t>、</w:t>
      </w:r>
      <w:r>
        <w:rPr>
          <w:rStyle w:val="25"/>
          <w:rFonts w:hint="eastAsia" w:ascii="宋体" w:hAnsi="宋体" w:eastAsia="宋体" w:cs="宋体"/>
          <w:sz w:val="24"/>
          <w:szCs w:val="24"/>
        </w:rPr>
        <w:t>甲乙双方同意，乙方自本合同生效起，授权甲方永久免费使用本产品，并向甲方出具产品授权许可。</w:t>
      </w:r>
    </w:p>
    <w:p w14:paraId="41EF68E3">
      <w:pPr>
        <w:spacing w:line="360" w:lineRule="auto"/>
        <w:ind w:firstLine="480" w:firstLineChars="200"/>
        <w:rPr>
          <w:rFonts w:hint="eastAsia" w:ascii="宋体" w:hAnsi="宋体" w:eastAsia="宋体" w:cs="宋体"/>
          <w:sz w:val="24"/>
          <w:szCs w:val="24"/>
        </w:rPr>
      </w:pPr>
      <w:r>
        <w:rPr>
          <w:rStyle w:val="25"/>
          <w:rFonts w:hint="eastAsia" w:ascii="宋体" w:hAnsi="宋体" w:cs="宋体"/>
          <w:sz w:val="24"/>
          <w:szCs w:val="24"/>
          <w:lang w:val="en-US" w:eastAsia="zh-CN"/>
        </w:rPr>
        <w:t>4、</w:t>
      </w:r>
      <w:r>
        <w:rPr>
          <w:rFonts w:hint="eastAsia" w:ascii="宋体" w:hAnsi="宋体" w:eastAsia="宋体" w:cs="宋体"/>
          <w:sz w:val="24"/>
          <w:szCs w:val="24"/>
        </w:rPr>
        <w:t>基于本协议新产生的智力成果的权益归甲方所有，如乙方为履行本协议使用其原有或第三人所有的智力成果的，乙方保证甲方或甲方客户享有永久的免费使用权，并保证该等使用不侵犯任何第三方的专利权、著作权、商标专用权、商业秘密及其他权属权利，否则向甲方赔偿因其造成的相关损失，包括但不限于律师费、诉讼费、交通费、通讯费、差旅费等维权费用。</w:t>
      </w:r>
    </w:p>
    <w:p w14:paraId="12723D94">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乙方不得将为甲方工作产生的新的成果、非专利技术、技术秘密及其他任何技术资料以任何方式泄露或转让给第三方。</w:t>
      </w:r>
    </w:p>
    <w:p w14:paraId="782BB5E4">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、乙方不得将在履行本合同过程中触及和知晓的包括但不限于有关甲方的设备、网络情况、业务程序及方式、管理的方法制度和专有技术、用户资料等信息以任何方式泄露给第三方。</w:t>
      </w:r>
    </w:p>
    <w:p w14:paraId="68C54ABE">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、乙方应对与本合同相关的文件、数据、材料及各方间的联络承担保密义务。</w:t>
      </w:r>
      <w:r>
        <w:rPr>
          <w:rFonts w:hint="eastAsia" w:ascii="宋体" w:hAnsi="宋体" w:cs="宋体"/>
          <w:sz w:val="24"/>
          <w:szCs w:val="24"/>
          <w:lang w:val="en-US" w:eastAsia="zh-CN"/>
        </w:rPr>
        <w:t>乙方</w:t>
      </w:r>
      <w:r>
        <w:rPr>
          <w:rFonts w:hint="eastAsia" w:ascii="宋体" w:hAnsi="宋体" w:eastAsia="宋体" w:cs="宋体"/>
          <w:sz w:val="24"/>
          <w:szCs w:val="24"/>
        </w:rPr>
        <w:t>在未取得其他各方书面许可前，不得因合同目的以外的原因将上述信息提供给任何第三方。</w:t>
      </w:r>
    </w:p>
    <w:p w14:paraId="79E1976F">
      <w:pPr>
        <w:pStyle w:val="2"/>
        <w:bidi w:val="0"/>
        <w:rPr>
          <w:lang w:eastAsia="zh-CN"/>
        </w:rPr>
      </w:pPr>
      <w:r>
        <w:rPr>
          <w:rFonts w:hint="eastAsia"/>
          <w:lang w:val="en-US" w:eastAsia="zh-CN"/>
        </w:rPr>
        <w:t>保密条款</w:t>
      </w:r>
    </w:p>
    <w:p w14:paraId="2EC1895D">
      <w:pPr>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5" w:firstLineChars="0"/>
        <w:textAlignment w:val="auto"/>
        <w:rPr>
          <w:rFonts w:hint="eastAsia"/>
          <w:lang w:eastAsia="zh-CN"/>
        </w:rPr>
      </w:pPr>
      <w:r>
        <w:rPr>
          <w:rFonts w:hint="eastAsia"/>
          <w:lang w:eastAsia="zh-CN"/>
        </w:rPr>
        <w:t>本合同拥有信息的一方（“提供方”）根据本合同向另一方（“接受方”）提供的信息，包括但不限于技术性信息、商业性信息、文件、程序、计划、技术、图表、模型、参数、数据、标准、专有技术、业务或业务运作方法以及其他专有信息，本合同的条款和与本合同有关的其他商业信息和技术信息(以下统称“保密信息”)，只能由接受方及其人员为本合同目的而使用。除本合同另有规定外，对于提供方提供的任何保密信息，未经提供方的书面同意，接受方及其知悉保密信息的人员均不得直接或间接地以任何方式提供、披露或转让给任何第三方，或许可第三方使用，或以保密信息向任何第三方提供任何建议或意见。在本条中，“第三方”是指任何自然人、企业或其分支机构、代理、组织或其他实体，但不包括乙方关联公司，“乙方关联公司”是指中国移动通信集团有限公司及其分公司、由中国移动通信集团有限公司直接或间接控股的公司，以及上述公司的合法继承人。</w:t>
      </w:r>
    </w:p>
    <w:p w14:paraId="26AE6460">
      <w:pPr>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5" w:firstLineChars="0"/>
        <w:textAlignment w:val="auto"/>
        <w:rPr>
          <w:rFonts w:hint="eastAsia"/>
          <w:lang w:eastAsia="zh-CN"/>
        </w:rPr>
      </w:pPr>
      <w:r>
        <w:rPr>
          <w:rFonts w:hint="eastAsia"/>
          <w:lang w:eastAsia="zh-CN"/>
        </w:rPr>
        <w:t>提供方向接受方提供或披露的保密信息，仅可由接受方为执行本合同需要披露给指定的雇员，并且仅在为执行本合同所需的范围内进行该等披露；但是，接受方在采取一切合理的预防措施之前，不得向其雇员披露任何保密信息，该等预防措施包括但不限于告知该等雇员将要披露信息的保密性质，由该等雇员做出至少与本合同保密义务一样严格的保密承诺等，以防止该等雇员为个人利益使用保密信息或向任何第三方做出未经授权的任何披露。接受方雇员违反保密义务的，视为接受方违反保密义务。</w:t>
      </w:r>
    </w:p>
    <w:p w14:paraId="0D462701">
      <w:pPr>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5" w:firstLineChars="0"/>
        <w:textAlignment w:val="auto"/>
        <w:rPr>
          <w:rFonts w:hint="eastAsia"/>
          <w:lang w:eastAsia="zh-CN"/>
        </w:rPr>
      </w:pPr>
      <w:r>
        <w:rPr>
          <w:rFonts w:hint="eastAsia"/>
          <w:lang w:eastAsia="zh-CN"/>
        </w:rPr>
        <w:t>接受方的律师、会计师、承包商和顾问为提供专业协助而需要了解保密信息时，接受方可向其披露保密信息，但是，其应要求上述人员签订保密协议或按照有关职业道德标准履行保密义务。接受方应向提供方承担因己方聘请的上述专业顾问违反保密约定而给提供方造成的任何损失。</w:t>
      </w:r>
    </w:p>
    <w:p w14:paraId="5A4908B2">
      <w:pPr>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5" w:firstLineChars="0"/>
        <w:textAlignment w:val="auto"/>
        <w:rPr>
          <w:rFonts w:hint="eastAsia"/>
          <w:lang w:eastAsia="zh-CN"/>
        </w:rPr>
      </w:pPr>
      <w:r>
        <w:rPr>
          <w:rFonts w:hint="eastAsia"/>
          <w:lang w:eastAsia="zh-CN"/>
        </w:rPr>
        <w:t>如相关政府部门或监管机构要求接受方披露任何保密信息，接受方可在该政府部门或机构要求的范围内做出披露而无需承担本合同项下的责任。但前提是，该接受方应立即将需披露的信息书面通知提供方，以便提供方采取必要的保护措施，且该等通知应尽可能在信息披露前做出，并且接受方应尽商业上合理的努力确保该等被披露的信息获得有关政府机关或机构的保密待遇。</w:t>
      </w:r>
    </w:p>
    <w:p w14:paraId="70312195">
      <w:pPr>
        <w:bidi w:val="0"/>
        <w:rPr>
          <w:rFonts w:hint="eastAsia"/>
          <w:lang w:eastAsia="zh-CN"/>
        </w:rPr>
      </w:pPr>
      <w:r>
        <w:rPr>
          <w:rFonts w:hint="eastAsia"/>
          <w:lang w:eastAsia="zh-CN"/>
        </w:rPr>
        <w:t>4.</w:t>
      </w:r>
      <w:r>
        <w:rPr>
          <w:rFonts w:hint="eastAsia"/>
          <w:lang w:val="en-US" w:eastAsia="zh-CN"/>
        </w:rPr>
        <w:t>1</w:t>
      </w:r>
      <w:r>
        <w:rPr>
          <w:rFonts w:hint="eastAsia"/>
          <w:lang w:eastAsia="zh-CN"/>
        </w:rPr>
        <w:t>在任何情形下，本条所规定的保密义务应永久持续有效。</w:t>
      </w:r>
    </w:p>
    <w:p w14:paraId="7859DE74">
      <w:pPr>
        <w:bidi w:val="0"/>
        <w:rPr>
          <w:rFonts w:hint="eastAsia"/>
          <w:lang w:eastAsia="zh-CN"/>
        </w:rPr>
      </w:pPr>
      <w:r>
        <w:rPr>
          <w:rFonts w:hint="eastAsia"/>
          <w:lang w:eastAsia="zh-CN"/>
        </w:rPr>
        <w:t>4.</w:t>
      </w:r>
      <w:r>
        <w:rPr>
          <w:rFonts w:hint="eastAsia"/>
          <w:lang w:val="en-US" w:eastAsia="zh-CN"/>
        </w:rPr>
        <w:t>2</w:t>
      </w:r>
      <w:r>
        <w:rPr>
          <w:rFonts w:hint="eastAsia"/>
          <w:lang w:eastAsia="zh-CN"/>
        </w:rPr>
        <w:t>本条规定的保密义务对以下信息不适用：</w:t>
      </w:r>
    </w:p>
    <w:p w14:paraId="0C6A6559">
      <w:pPr>
        <w:bidi w:val="0"/>
        <w:rPr>
          <w:rFonts w:hint="eastAsia"/>
          <w:lang w:eastAsia="zh-CN"/>
        </w:rPr>
      </w:pPr>
      <w:r>
        <w:rPr>
          <w:rFonts w:hint="eastAsia"/>
          <w:lang w:eastAsia="zh-CN"/>
        </w:rPr>
        <w:t>（1）非因违反本协议所致，已进入公众领域的信息；</w:t>
      </w:r>
    </w:p>
    <w:p w14:paraId="601638BB">
      <w:pPr>
        <w:bidi w:val="0"/>
        <w:rPr>
          <w:rFonts w:hint="eastAsia"/>
          <w:lang w:eastAsia="zh-CN"/>
        </w:rPr>
      </w:pPr>
      <w:r>
        <w:rPr>
          <w:rFonts w:hint="eastAsia"/>
          <w:lang w:eastAsia="zh-CN"/>
        </w:rPr>
        <w:t>（2）在提供方依据本协议做出披露前，接受方已合法拥有的信息；</w:t>
      </w:r>
    </w:p>
    <w:p w14:paraId="32B3F14E">
      <w:pPr>
        <w:bidi w:val="0"/>
        <w:rPr>
          <w:rFonts w:hint="eastAsia"/>
          <w:lang w:eastAsia="zh-CN"/>
        </w:rPr>
      </w:pPr>
      <w:r>
        <w:rPr>
          <w:rFonts w:hint="eastAsia"/>
          <w:lang w:eastAsia="zh-CN"/>
        </w:rPr>
        <w:t>（3）接受方从有权披露的第三方获得的信息；</w:t>
      </w:r>
    </w:p>
    <w:p w14:paraId="26ACC6D7">
      <w:pPr>
        <w:bidi w:val="0"/>
        <w:rPr>
          <w:rFonts w:hint="eastAsia"/>
          <w:lang w:eastAsia="zh-CN"/>
        </w:rPr>
      </w:pPr>
      <w:r>
        <w:rPr>
          <w:rFonts w:hint="eastAsia"/>
          <w:lang w:eastAsia="zh-CN"/>
        </w:rPr>
        <w:t>（4）接受方独立开发的信息，未使用任何保密信息。</w:t>
      </w:r>
    </w:p>
    <w:p w14:paraId="7A63476F">
      <w:pPr>
        <w:bidi w:val="0"/>
        <w:rPr>
          <w:rFonts w:hint="eastAsia"/>
          <w:lang w:eastAsia="zh-CN"/>
        </w:rPr>
      </w:pPr>
      <w:r>
        <w:rPr>
          <w:rFonts w:hint="eastAsia"/>
          <w:lang w:eastAsia="zh-CN"/>
        </w:rPr>
        <w:t>4.</w:t>
      </w:r>
      <w:r>
        <w:rPr>
          <w:rFonts w:hint="eastAsia"/>
          <w:lang w:val="en-US" w:eastAsia="zh-CN"/>
        </w:rPr>
        <w:t>3</w:t>
      </w:r>
      <w:r>
        <w:rPr>
          <w:rFonts w:hint="eastAsia"/>
          <w:lang w:eastAsia="zh-CN"/>
        </w:rPr>
        <w:t>当本合同解除或终止时，接受方应立即停止使用且不得许可第三方使用提供方的保密信息，同时，接受方应按照提供方的书面要求，将提供方提供的保密信息退还提供方或予以删除或销毁，不得以任何形式留存。</w:t>
      </w:r>
    </w:p>
    <w:p w14:paraId="5C931C5E">
      <w:pPr>
        <w:pStyle w:val="2"/>
        <w:bidi w:val="0"/>
        <w:rPr>
          <w:rFonts w:hint="eastAsia"/>
          <w:lang w:val="en-US" w:eastAsia="zh-CN"/>
        </w:rPr>
      </w:pPr>
      <w:r>
        <w:rPr>
          <w:rFonts w:hint="eastAsia"/>
          <w:lang w:val="en-US" w:eastAsia="zh-CN"/>
        </w:rPr>
        <w:t>索赔</w:t>
      </w:r>
    </w:p>
    <w:p w14:paraId="43FD58E4">
      <w:pPr>
        <w:bidi w:val="0"/>
        <w:rPr>
          <w:rFonts w:hint="default"/>
          <w:lang w:val="en-US" w:eastAsia="zh-CN"/>
        </w:rPr>
      </w:pPr>
      <w:r>
        <w:rPr>
          <w:rFonts w:hint="default"/>
          <w:lang w:val="en-US" w:eastAsia="zh-CN"/>
        </w:rPr>
        <w:t>乙方对所供货物与合同要求不符负有责任，如经检验证实不符或缺陷存在的，包括潜在的缺陷或使用不合适的材料，甲方可根据本合同有关质量保证或检验、安装、调试的规定，在质量保证期内及时提出索赔，乙方同意甲方选择下述一种或多种结合的方法解决索赔事宜：</w:t>
      </w:r>
    </w:p>
    <w:p w14:paraId="4F957904">
      <w:pPr>
        <w:bidi w:val="0"/>
        <w:rPr>
          <w:rFonts w:hint="default"/>
          <w:lang w:val="en-US" w:eastAsia="zh-CN"/>
        </w:rPr>
      </w:pPr>
      <w:r>
        <w:rPr>
          <w:rFonts w:hint="default"/>
          <w:lang w:val="en-US" w:eastAsia="zh-CN"/>
        </w:rPr>
        <w:t>1</w:t>
      </w:r>
      <w:r>
        <w:rPr>
          <w:rFonts w:hint="eastAsia"/>
          <w:lang w:val="en-US" w:eastAsia="zh-CN"/>
        </w:rPr>
        <w:t>、</w:t>
      </w:r>
      <w:r>
        <w:rPr>
          <w:rFonts w:hint="default"/>
          <w:lang w:val="en-US" w:eastAsia="zh-CN"/>
        </w:rPr>
        <w:t>乙方同意甲方退货，并将货物被拒收前甲方已付的所有款项退还甲方，乙方承担由此发生的一切损失和费用，包括利息、银行手续费、运费、保险费、检验费、仓储费、装卸费以及为保管、维护和退回被拒收货物所发生的其它必要费用。</w:t>
      </w:r>
    </w:p>
    <w:p w14:paraId="5470BA01">
      <w:pPr>
        <w:bidi w:val="0"/>
        <w:rPr>
          <w:rFonts w:hint="default"/>
          <w:lang w:val="en-US" w:eastAsia="zh-CN"/>
        </w:rPr>
      </w:pPr>
      <w:r>
        <w:rPr>
          <w:rFonts w:hint="default"/>
          <w:lang w:val="en-US" w:eastAsia="zh-CN"/>
        </w:rPr>
        <w:t>2</w:t>
      </w:r>
      <w:r>
        <w:rPr>
          <w:rFonts w:hint="eastAsia"/>
          <w:lang w:val="en-US" w:eastAsia="zh-CN"/>
        </w:rPr>
        <w:t>、</w:t>
      </w:r>
      <w:r>
        <w:rPr>
          <w:rFonts w:hint="default"/>
          <w:lang w:val="en-US" w:eastAsia="zh-CN"/>
        </w:rPr>
        <w:t>根据货物的疵劣和受损程度以及甲方因此遭受损失的金额，经甲乙双方商定，降低货物成交价格。</w:t>
      </w:r>
    </w:p>
    <w:p w14:paraId="2F404E9B">
      <w:pPr>
        <w:bidi w:val="0"/>
        <w:rPr>
          <w:rFonts w:hint="default"/>
          <w:lang w:val="en-US" w:eastAsia="zh-CN"/>
        </w:rPr>
      </w:pPr>
      <w:r>
        <w:rPr>
          <w:rFonts w:hint="default"/>
          <w:lang w:val="en-US" w:eastAsia="zh-CN"/>
        </w:rPr>
        <w:t>3</w:t>
      </w:r>
      <w:r>
        <w:rPr>
          <w:rFonts w:hint="eastAsia"/>
          <w:lang w:val="en-US" w:eastAsia="zh-CN"/>
        </w:rPr>
        <w:t>、</w:t>
      </w:r>
      <w:r>
        <w:rPr>
          <w:rFonts w:hint="default"/>
          <w:lang w:val="en-US" w:eastAsia="zh-CN"/>
        </w:rPr>
        <w:t>用符合合同规定的规格、质量和性能要求的新零件、部件和/或设备来更换有缺陷的部分和/或修补缺陷部分，以使货物达到合同规定的规格、质量和性能，乙方承担一切费用和风险并负担甲方遭受的一切损失。同时乙方相应延长被更换货物的质保期。</w:t>
      </w:r>
    </w:p>
    <w:p w14:paraId="237FA0E5">
      <w:pPr>
        <w:bidi w:val="0"/>
        <w:rPr>
          <w:rFonts w:hint="default"/>
          <w:lang w:val="en-US" w:eastAsia="zh-CN"/>
        </w:rPr>
      </w:pPr>
      <w:r>
        <w:rPr>
          <w:rFonts w:hint="default"/>
          <w:lang w:val="en-US" w:eastAsia="zh-CN"/>
        </w:rPr>
        <w:t>4</w:t>
      </w:r>
      <w:r>
        <w:rPr>
          <w:rFonts w:hint="eastAsia"/>
          <w:lang w:val="en-US" w:eastAsia="zh-CN"/>
        </w:rPr>
        <w:t>、</w:t>
      </w:r>
      <w:r>
        <w:rPr>
          <w:rFonts w:hint="default"/>
          <w:lang w:val="en-US" w:eastAsia="zh-CN"/>
        </w:rPr>
        <w:t>乙方收到索赔通知后10天内，未给甲方答复的，视为索赔已被乙方接受。乙方未能在收到索赔通知后10天内，或征得甲方同意的延长期限内，按照甲方从上列方法中选择的方案解决索赔事宜的，甲方将有权从未付货款中扣回索赔金额，同时保留进一步要求索赔的权利。</w:t>
      </w:r>
    </w:p>
    <w:p w14:paraId="18B6B7B3">
      <w:pPr>
        <w:pStyle w:val="2"/>
        <w:bidi w:val="0"/>
        <w:rPr>
          <w:rFonts w:hint="eastAsia"/>
          <w:lang w:val="en-US" w:eastAsia="zh-CN"/>
        </w:rPr>
      </w:pPr>
      <w:r>
        <w:rPr>
          <w:rFonts w:hint="eastAsia"/>
          <w:lang w:val="en-US" w:eastAsia="zh-CN"/>
        </w:rPr>
        <w:t>安全生产</w:t>
      </w:r>
    </w:p>
    <w:p w14:paraId="7AB58E9C">
      <w:pPr>
        <w:spacing w:line="360" w:lineRule="auto"/>
        <w:ind w:firstLine="480" w:firstLineChars="200"/>
        <w:rPr>
          <w:rStyle w:val="25"/>
          <w:rFonts w:hint="eastAsia" w:ascii="宋体" w:hAnsi="宋体" w:eastAsia="宋体" w:cs="宋体"/>
          <w:sz w:val="24"/>
          <w:szCs w:val="24"/>
        </w:rPr>
      </w:pPr>
      <w:r>
        <w:rPr>
          <w:rStyle w:val="25"/>
          <w:rFonts w:hint="eastAsia" w:ascii="宋体" w:hAnsi="宋体" w:eastAsia="宋体" w:cs="宋体"/>
          <w:sz w:val="24"/>
          <w:szCs w:val="24"/>
        </w:rPr>
        <w:t>乙方应遵守项目安全生产有关管理规定，加强项目现场管理，严格按安全标准组织施工，有效地做好各项安全防患措施、设立必要的警示标志、维护环境卫生等工作，保证文明施工、安全实施。在可能造成人身伤害的危险工作环境，如动力设备、输电线路、地下管道、密封防震车间、易燃易爆地段及临街通道等环境施工时，乙方应按有关规定采取相应的防护措施，必要情况下由具备资质的第三方采取专业防护措施，同时为相关人员购买人身意外等保险，并承担相关的费用。</w:t>
      </w:r>
    </w:p>
    <w:p w14:paraId="3C18C7AB">
      <w:pPr>
        <w:spacing w:line="360" w:lineRule="auto"/>
        <w:ind w:firstLine="480" w:firstLineChars="200"/>
        <w:rPr>
          <w:rStyle w:val="25"/>
          <w:rFonts w:hint="eastAsia" w:ascii="宋体" w:hAnsi="宋体" w:eastAsia="宋体" w:cs="宋体"/>
          <w:sz w:val="24"/>
          <w:szCs w:val="24"/>
        </w:rPr>
      </w:pPr>
      <w:r>
        <w:rPr>
          <w:rStyle w:val="25"/>
          <w:rFonts w:hint="eastAsia" w:ascii="宋体" w:hAnsi="宋体" w:eastAsia="宋体" w:cs="宋体"/>
          <w:sz w:val="24"/>
          <w:szCs w:val="24"/>
        </w:rPr>
        <w:t>合同履行期间，乙方要定期对本建设项目安全隐患进行排查并接受甲方的监督，在项目建设或维护范围内发生的安全事故、人身财产损害、行政处罚等，均由乙方负责处理，由此造成的全部法律责任和经济赔偿均由乙方承担，并赔偿甲方因此遭受的全部损失，包括但不限于甲方客户对甲方要求的违约金、各项罚款、各项行政处罚、诉讼费、律师费、鉴定费、财产保全费、补偿金、赔偿金、可预见的预期利益损失、其他诉讼成本等，甲方有权从待支付的款项中直接扣除上述费用，不足部分乙方应继续赔偿。上述损失难于计算的，以合同总金额的</w:t>
      </w:r>
      <w:r>
        <w:rPr>
          <w:rStyle w:val="25"/>
          <w:rFonts w:hint="eastAsia" w:ascii="宋体" w:hAnsi="宋体" w:cs="宋体"/>
          <w:sz w:val="24"/>
          <w:szCs w:val="24"/>
          <w:lang w:val="en-US" w:eastAsia="zh-CN"/>
        </w:rPr>
        <w:t>2</w:t>
      </w:r>
      <w:r>
        <w:rPr>
          <w:rStyle w:val="25"/>
          <w:rFonts w:hint="eastAsia" w:ascii="宋体" w:hAnsi="宋体" w:eastAsia="宋体" w:cs="宋体"/>
          <w:sz w:val="24"/>
          <w:szCs w:val="24"/>
        </w:rPr>
        <w:t>0%计算。</w:t>
      </w:r>
    </w:p>
    <w:p w14:paraId="512A3548">
      <w:pPr>
        <w:pStyle w:val="2"/>
        <w:bidi w:val="0"/>
        <w:rPr>
          <w:rFonts w:hint="eastAsia"/>
          <w:lang w:val="en-US" w:eastAsia="zh-CN"/>
        </w:rPr>
      </w:pPr>
      <w:r>
        <w:rPr>
          <w:rFonts w:hint="eastAsia"/>
          <w:lang w:val="en-US" w:eastAsia="zh-CN"/>
        </w:rPr>
        <w:t>承诺与保证</w:t>
      </w:r>
    </w:p>
    <w:p w14:paraId="1CE25902">
      <w:pPr>
        <w:pStyle w:val="26"/>
        <w:rPr>
          <w:rFonts w:hint="eastAsia"/>
        </w:rPr>
      </w:pPr>
      <w:r>
        <w:rPr>
          <w:rFonts w:hint="eastAsia"/>
          <w:lang w:val="en-US" w:eastAsia="zh-CN"/>
        </w:rPr>
        <w:t>乙方</w:t>
      </w:r>
      <w:r>
        <w:rPr>
          <w:rFonts w:hint="eastAsia"/>
        </w:rPr>
        <w:t>保证：作为一家依法成立并合法注册及有效存续的独立法人，具有签署本合同的合法主体资格，且在签署本合同时无任何法律障碍和重大事件影响其继续正常存续和履行本合同的能力。</w:t>
      </w:r>
    </w:p>
    <w:p w14:paraId="44FD86AB">
      <w:pPr>
        <w:pStyle w:val="26"/>
        <w:rPr>
          <w:rFonts w:hint="eastAsia"/>
        </w:rPr>
      </w:pPr>
      <w:r>
        <w:rPr>
          <w:rFonts w:hint="eastAsia"/>
          <w:lang w:val="en-US" w:eastAsia="zh-CN"/>
        </w:rPr>
        <w:t>乙方</w:t>
      </w:r>
      <w:r>
        <w:rPr>
          <w:rFonts w:hint="eastAsia"/>
        </w:rPr>
        <w:t>保证：指定的授权代表具有完全民事行为能力且已获得签署本合同所必须的书面授权，授权代表作为其委托代理人签署本合同并无任何法律障碍，对授权代表签署本合同的任何行为将予以认可，并不存在授权不明或超授权范围的情况，亦不存在任何因上述情况而可能导致合同无效或部分无效、被撤销的情况。</w:t>
      </w:r>
    </w:p>
    <w:p w14:paraId="195B98C4">
      <w:pPr>
        <w:pStyle w:val="26"/>
        <w:rPr>
          <w:rFonts w:hint="eastAsia"/>
        </w:rPr>
      </w:pPr>
      <w:r>
        <w:rPr>
          <w:rFonts w:hint="eastAsia"/>
        </w:rPr>
        <w:t>乙方保证拥有合法销售本合同标的物的全部政府许可、生产和/或使用许可和/或授权，对其所销售的标的物拥有完全的排他的所有权和/或知识产权和/或有效使用许可。</w:t>
      </w:r>
    </w:p>
    <w:p w14:paraId="6CF9AB96">
      <w:pPr>
        <w:pStyle w:val="26"/>
        <w:rPr>
          <w:rFonts w:hint="eastAsia"/>
        </w:rPr>
      </w:pPr>
      <w:r>
        <w:rPr>
          <w:rFonts w:hint="eastAsia"/>
        </w:rPr>
        <w:t>在合同保修期内，乙方保证根据</w:t>
      </w:r>
      <w:r>
        <w:rPr>
          <w:rFonts w:hint="eastAsia"/>
          <w:lang w:val="en-US" w:eastAsia="zh-CN"/>
        </w:rPr>
        <w:t>招标清单设备</w:t>
      </w:r>
      <w:r>
        <w:rPr>
          <w:rFonts w:hint="eastAsia"/>
        </w:rPr>
        <w:t>的原始数据对合同系统功能的设计是正确的。如果甲方发现由于设计错误而引起合同系统功能的缺失，乙方应尽快向甲方免费提供缺失部分，使系统完整。</w:t>
      </w:r>
    </w:p>
    <w:p w14:paraId="46966F49">
      <w:pPr>
        <w:pStyle w:val="26"/>
        <w:rPr>
          <w:rFonts w:hint="eastAsia"/>
        </w:rPr>
      </w:pPr>
      <w:r>
        <w:rPr>
          <w:rFonts w:hint="eastAsia"/>
          <w:lang w:val="en-US" w:eastAsia="zh-CN"/>
        </w:rPr>
        <w:t>乙方</w:t>
      </w:r>
      <w:r>
        <w:rPr>
          <w:rFonts w:hint="eastAsia"/>
        </w:rPr>
        <w:t>承诺：做好网络安全和信息安全工作，遵守国家与网络安全和信息安全相关的法律法规，遵守网络安全和信息安全相关的管理制度和规范，同时遵守以下规定：</w:t>
      </w:r>
    </w:p>
    <w:p w14:paraId="6807671C">
      <w:pPr>
        <w:pStyle w:val="26"/>
        <w:rPr>
          <w:rFonts w:hint="eastAsia"/>
        </w:rPr>
      </w:pPr>
      <w:r>
        <w:rPr>
          <w:rFonts w:hint="eastAsia"/>
        </w:rPr>
        <w:t>（1）不利用网络危害国家安全、泄露国家秘密，不侵犯国家、社会、集体和第三方的合法权益，不从事违法犯罪活动。</w:t>
      </w:r>
    </w:p>
    <w:p w14:paraId="3FD4D135">
      <w:pPr>
        <w:pStyle w:val="26"/>
        <w:rPr>
          <w:rFonts w:hint="eastAsia"/>
        </w:rPr>
      </w:pPr>
      <w:r>
        <w:rPr>
          <w:rFonts w:hint="eastAsia"/>
        </w:rPr>
        <w:t>（2）健全本单位的各项网络安全和信息安全管理制度，落实各项安全保护技术措施，严格按照国家相关法律法规做好本单位的网络安全和信息安全工作。</w:t>
      </w:r>
    </w:p>
    <w:p w14:paraId="22A7D3FA">
      <w:pPr>
        <w:pStyle w:val="26"/>
        <w:rPr>
          <w:rFonts w:hint="eastAsia"/>
        </w:rPr>
      </w:pPr>
      <w:r>
        <w:rPr>
          <w:rFonts w:hint="eastAsia"/>
        </w:rPr>
        <w:t>（3）在本合同履行过程中，若发生重大网络安全和信息安全事故时，立即采取应急措施，保留有关原始记录，并立即书面通知对方。</w:t>
      </w:r>
    </w:p>
    <w:p w14:paraId="44AA5A50">
      <w:pPr>
        <w:pStyle w:val="26"/>
        <w:rPr>
          <w:rFonts w:hint="eastAsia"/>
        </w:rPr>
      </w:pPr>
      <w:r>
        <w:rPr>
          <w:rFonts w:hint="eastAsia"/>
        </w:rPr>
        <w:t>（4）若违反国家与网络安全和信息安全相关的法律法规，由</w:t>
      </w:r>
      <w:r>
        <w:rPr>
          <w:rFonts w:hint="eastAsia"/>
          <w:lang w:val="en-US" w:eastAsia="zh-CN"/>
        </w:rPr>
        <w:t>乙方</w:t>
      </w:r>
      <w:r>
        <w:rPr>
          <w:rFonts w:hint="eastAsia"/>
        </w:rPr>
        <w:t>承担相应法律责任，由此给对方造成损失的，应予赔偿。</w:t>
      </w:r>
    </w:p>
    <w:p w14:paraId="6E0AA100">
      <w:pPr>
        <w:pStyle w:val="2"/>
        <w:bidi w:val="0"/>
        <w:rPr>
          <w:rFonts w:hint="eastAsia"/>
          <w:lang w:val="en-US" w:eastAsia="zh-CN"/>
        </w:rPr>
      </w:pPr>
      <w:r>
        <w:rPr>
          <w:rFonts w:hint="eastAsia"/>
          <w:lang w:val="en-US" w:eastAsia="zh-CN"/>
        </w:rPr>
        <w:t>禁止转让</w:t>
      </w:r>
    </w:p>
    <w:p w14:paraId="0BFFF5D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1.1履行合同</w:t>
      </w:r>
    </w:p>
    <w:p w14:paraId="67A4CDD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本合同一经签署，合同双方当事人均应按照本合同约定行使各自的权利、履行各自的义务。</w:t>
      </w:r>
    </w:p>
    <w:p w14:paraId="6F10DF9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1.2不得转让</w:t>
      </w:r>
    </w:p>
    <w:p w14:paraId="7AB28B8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除合同另有约定外，未经另一方当事人同意，合同一方当事人不得将本合同的全部或部分权利、义务转让给第三方。</w:t>
      </w:r>
    </w:p>
    <w:p w14:paraId="3123843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1.3不得质押</w:t>
      </w:r>
    </w:p>
    <w:p w14:paraId="758B1E7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本合同项下任何应收款项均不得用于质押。</w:t>
      </w:r>
    </w:p>
    <w:p w14:paraId="1CC022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1.4违约责任</w:t>
      </w:r>
    </w:p>
    <w:p w14:paraId="7BFC9A7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合同一方违反本保证，导致另一方主张权利或者其他方遭受索赔，违约方应负责解决并应当赔偿受损方为此而支付的一切费用以及因此而给受损方造成的全部损失，上述损失难以计算的，按合同总金额的10%计算违约金。</w:t>
      </w:r>
    </w:p>
    <w:p w14:paraId="75A61FE2">
      <w:pPr>
        <w:pStyle w:val="2"/>
        <w:bidi w:val="0"/>
        <w:rPr>
          <w:rFonts w:hint="eastAsia"/>
          <w:lang w:val="en-US" w:eastAsia="zh-CN"/>
        </w:rPr>
      </w:pPr>
      <w:r>
        <w:rPr>
          <w:rFonts w:hint="eastAsia"/>
          <w:lang w:val="en-US" w:eastAsia="zh-CN"/>
        </w:rPr>
        <w:t>分包转包</w:t>
      </w:r>
    </w:p>
    <w:p w14:paraId="259AF6F9">
      <w:pPr>
        <w:spacing w:line="360" w:lineRule="auto"/>
        <w:ind w:firstLine="480" w:firstLineChars="200"/>
        <w:rPr>
          <w:rStyle w:val="25"/>
          <w:rFonts w:hint="eastAsia" w:ascii="宋体" w:hAnsi="宋体" w:eastAsia="宋体" w:cs="宋体"/>
          <w:sz w:val="24"/>
          <w:szCs w:val="24"/>
        </w:rPr>
      </w:pPr>
      <w:r>
        <w:rPr>
          <w:rStyle w:val="25"/>
          <w:rFonts w:hint="eastAsia" w:ascii="宋体" w:hAnsi="宋体" w:eastAsia="宋体" w:cs="宋体"/>
          <w:sz w:val="24"/>
          <w:szCs w:val="24"/>
        </w:rPr>
        <w:t>不允许任何形式的分包或转包。</w:t>
      </w:r>
    </w:p>
    <w:p w14:paraId="4BC9E96D">
      <w:pPr>
        <w:pStyle w:val="2"/>
        <w:bidi w:val="0"/>
        <w:rPr>
          <w:rFonts w:hint="eastAsia"/>
          <w:lang w:val="en-US" w:eastAsia="zh-CN"/>
        </w:rPr>
      </w:pPr>
      <w:r>
        <w:rPr>
          <w:rFonts w:hint="eastAsia"/>
          <w:lang w:val="en-US" w:eastAsia="zh-CN"/>
        </w:rPr>
        <w:t>合同组成</w:t>
      </w:r>
    </w:p>
    <w:p w14:paraId="54A6A51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下列文件是构成本合同不可分割的部分：</w:t>
      </w:r>
    </w:p>
    <w:p w14:paraId="1A7A7B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1、中选</w:t>
      </w:r>
      <w:r>
        <w:rPr>
          <w:rFonts w:hint="eastAsia" w:ascii="宋体" w:hAnsi="宋体" w:eastAsia="宋体" w:cs="宋体"/>
          <w:sz w:val="24"/>
          <w:szCs w:val="24"/>
          <w:highlight w:val="none"/>
          <w:lang w:val="en-US" w:eastAsia="zh-CN"/>
        </w:rPr>
        <w:t>结果</w:t>
      </w:r>
      <w:r>
        <w:rPr>
          <w:rFonts w:hint="eastAsia" w:ascii="宋体" w:hAnsi="宋体" w:eastAsia="宋体" w:cs="宋体"/>
          <w:sz w:val="24"/>
          <w:szCs w:val="24"/>
          <w:highlight w:val="none"/>
        </w:rPr>
        <w:t>通知书；</w:t>
      </w:r>
    </w:p>
    <w:p w14:paraId="348535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文件（含澄清文件）；</w:t>
      </w:r>
    </w:p>
    <w:p w14:paraId="74227D3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3、中选人的应答文件（含澄清文件）；</w:t>
      </w:r>
    </w:p>
    <w:p w14:paraId="0D4246C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4、其他补充约定事项；</w:t>
      </w:r>
    </w:p>
    <w:p w14:paraId="5965CF7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5、本合同文本。</w:t>
      </w:r>
    </w:p>
    <w:p w14:paraId="1B1CAFED">
      <w:pPr>
        <w:pStyle w:val="2"/>
        <w:bidi w:val="0"/>
        <w:rPr>
          <w:rFonts w:hint="eastAsia"/>
          <w:lang w:val="en-US" w:eastAsia="zh-CN"/>
        </w:rPr>
      </w:pPr>
      <w:r>
        <w:rPr>
          <w:rFonts w:hint="eastAsia"/>
          <w:lang w:val="en-US" w:eastAsia="zh-CN"/>
        </w:rPr>
        <w:t>其他</w:t>
      </w:r>
    </w:p>
    <w:p w14:paraId="5BF7164D">
      <w:pPr>
        <w:rPr>
          <w:rFonts w:hint="eastAsia"/>
          <w:lang w:val="en-US" w:eastAsia="zh-CN"/>
        </w:rPr>
      </w:pPr>
      <w:r>
        <w:rPr>
          <w:rFonts w:hint="eastAsia"/>
          <w:lang w:val="en-US" w:eastAsia="zh-CN"/>
        </w:rPr>
        <w:t>本合同一式两份，经双方签字并盖章后即时生效。甲乙双方各执壹份，具有同等效力。</w:t>
      </w:r>
    </w:p>
    <w:p w14:paraId="3E29445C">
      <w:pPr>
        <w:pStyle w:val="2"/>
        <w:bidi w:val="0"/>
        <w:rPr>
          <w:rFonts w:hint="eastAsia"/>
          <w:lang w:val="en-US" w:eastAsia="zh-CN"/>
        </w:rPr>
      </w:pPr>
      <w:r>
        <w:rPr>
          <w:rFonts w:hint="eastAsia"/>
          <w:lang w:val="en-US" w:eastAsia="zh-CN"/>
        </w:rPr>
        <w:t>合同附件</w:t>
      </w:r>
    </w:p>
    <w:p w14:paraId="7D7C4A14">
      <w:pPr>
        <w:spacing w:line="360" w:lineRule="auto"/>
        <w:rPr>
          <w:rFonts w:hint="eastAsia" w:ascii="宋体" w:hAnsi="宋体" w:eastAsia="宋体" w:cs="宋体"/>
          <w:sz w:val="24"/>
          <w:szCs w:val="24"/>
        </w:rPr>
      </w:pPr>
      <w:r>
        <w:rPr>
          <w:rFonts w:hint="eastAsia" w:ascii="宋体" w:hAnsi="宋体" w:eastAsia="宋体" w:cs="宋体"/>
          <w:sz w:val="24"/>
          <w:szCs w:val="24"/>
        </w:rPr>
        <w:t>本合同附件均为本合同的有效组成部分。本合同附件包括：</w:t>
      </w:r>
    </w:p>
    <w:p w14:paraId="130CFA57">
      <w:pPr>
        <w:spacing w:line="360" w:lineRule="auto"/>
        <w:rPr>
          <w:rFonts w:hint="eastAsia" w:ascii="宋体" w:hAnsi="宋体" w:eastAsia="宋体" w:cs="宋体"/>
          <w:sz w:val="24"/>
          <w:szCs w:val="24"/>
        </w:rPr>
      </w:pPr>
      <w:r>
        <w:rPr>
          <w:rFonts w:hint="eastAsia" w:ascii="宋体" w:hAnsi="宋体" w:eastAsia="宋体" w:cs="宋体"/>
          <w:sz w:val="24"/>
          <w:szCs w:val="24"/>
        </w:rPr>
        <w:t>附件一：价格清单</w:t>
      </w:r>
    </w:p>
    <w:p w14:paraId="426821D1">
      <w:pPr>
        <w:spacing w:line="360" w:lineRule="auto"/>
        <w:rPr>
          <w:rFonts w:hint="eastAsia" w:ascii="宋体" w:hAnsi="宋体" w:eastAsia="宋体" w:cs="宋体"/>
          <w:sz w:val="24"/>
          <w:szCs w:val="24"/>
        </w:rPr>
      </w:pPr>
      <w:r>
        <w:rPr>
          <w:rFonts w:hint="eastAsia" w:ascii="宋体" w:hAnsi="宋体" w:eastAsia="宋体" w:cs="宋体"/>
          <w:sz w:val="24"/>
          <w:szCs w:val="24"/>
        </w:rPr>
        <w:t>附件二：技术规范书</w:t>
      </w:r>
    </w:p>
    <w:p w14:paraId="6C7F5BCB">
      <w:pPr>
        <w:spacing w:line="360" w:lineRule="auto"/>
        <w:rPr>
          <w:rFonts w:hint="eastAsia"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val="en-US" w:eastAsia="zh-CN"/>
        </w:rPr>
        <w:t>三</w:t>
      </w:r>
      <w:r>
        <w:rPr>
          <w:rFonts w:hint="eastAsia" w:ascii="宋体" w:hAnsi="宋体" w:eastAsia="宋体" w:cs="宋体"/>
          <w:sz w:val="24"/>
          <w:szCs w:val="24"/>
        </w:rPr>
        <w:t>：合同通用条款和相关协议</w:t>
      </w:r>
    </w:p>
    <w:p w14:paraId="0713A99E">
      <w:pPr>
        <w:widowControl/>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以下无正文</w:t>
      </w:r>
      <w:r>
        <w:rPr>
          <w:rFonts w:hint="eastAsia" w:ascii="宋体" w:hAnsi="宋体" w:eastAsia="宋体" w:cs="宋体"/>
          <w:sz w:val="24"/>
          <w:szCs w:val="24"/>
          <w:lang w:eastAsia="zh-CN"/>
        </w:rPr>
        <w:t>】</w:t>
      </w:r>
    </w:p>
    <w:p w14:paraId="7D3D99A1">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5BDD05C5">
      <w:pPr>
        <w:spacing w:line="360" w:lineRule="auto"/>
        <w:rPr>
          <w:rFonts w:hint="eastAsia" w:ascii="宋体" w:hAnsi="宋体" w:eastAsia="宋体" w:cs="宋体"/>
          <w:sz w:val="24"/>
          <w:szCs w:val="24"/>
        </w:rPr>
      </w:pPr>
    </w:p>
    <w:p w14:paraId="077D5EA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合同签署页</w:t>
      </w:r>
    </w:p>
    <w:p w14:paraId="1276897E">
      <w:pPr>
        <w:spacing w:line="360" w:lineRule="auto"/>
        <w:rPr>
          <w:rFonts w:hint="eastAsia" w:ascii="宋体" w:hAnsi="宋体" w:eastAsia="宋体" w:cs="宋体"/>
          <w:sz w:val="24"/>
          <w:szCs w:val="24"/>
        </w:rPr>
      </w:pPr>
      <w:r>
        <w:rPr>
          <w:rFonts w:hint="eastAsia" w:ascii="宋体" w:hAnsi="宋体" w:eastAsia="宋体" w:cs="宋体"/>
          <w:sz w:val="24"/>
          <w:szCs w:val="24"/>
        </w:rPr>
        <w:t>【本页无正文，为合同签署页】</w:t>
      </w:r>
    </w:p>
    <w:p w14:paraId="25A09EBC">
      <w:pPr>
        <w:spacing w:line="360" w:lineRule="auto"/>
        <w:rPr>
          <w:rFonts w:hint="eastAsia" w:ascii="宋体" w:hAnsi="宋体" w:eastAsia="宋体" w:cs="宋体"/>
          <w:sz w:val="24"/>
          <w:szCs w:val="24"/>
        </w:rPr>
      </w:pPr>
    </w:p>
    <w:p w14:paraId="36BAD418">
      <w:pPr>
        <w:spacing w:line="360" w:lineRule="auto"/>
        <w:rPr>
          <w:rFonts w:hint="eastAsia" w:ascii="宋体" w:hAnsi="宋体" w:eastAsia="宋体" w:cs="宋体"/>
          <w:sz w:val="24"/>
          <w:szCs w:val="24"/>
        </w:rPr>
      </w:pPr>
    </w:p>
    <w:p w14:paraId="62FDBBB2">
      <w:pPr>
        <w:spacing w:line="360" w:lineRule="auto"/>
        <w:rPr>
          <w:rFonts w:hint="eastAsia" w:ascii="宋体" w:hAnsi="宋体" w:eastAsia="宋体" w:cs="宋体"/>
          <w:b/>
          <w:sz w:val="24"/>
          <w:szCs w:val="24"/>
        </w:rPr>
      </w:pPr>
      <w:r>
        <w:rPr>
          <w:rFonts w:hint="eastAsia" w:ascii="宋体" w:hAnsi="宋体" w:eastAsia="宋体" w:cs="宋体"/>
          <w:b/>
          <w:sz w:val="24"/>
          <w:szCs w:val="24"/>
        </w:rPr>
        <w:t>合同名称：江苏省某单位设备100070</w:t>
      </w:r>
      <w:r>
        <w:rPr>
          <w:rFonts w:hint="eastAsia" w:ascii="宋体" w:hAnsi="宋体" w:cs="宋体"/>
          <w:b/>
          <w:sz w:val="24"/>
          <w:szCs w:val="24"/>
          <w:lang w:eastAsia="zh-CN"/>
        </w:rPr>
        <w:t>招标</w:t>
      </w:r>
      <w:r>
        <w:rPr>
          <w:rFonts w:hint="eastAsia" w:ascii="宋体" w:hAnsi="宋体" w:eastAsia="宋体" w:cs="宋体"/>
          <w:b/>
          <w:sz w:val="24"/>
          <w:szCs w:val="24"/>
        </w:rPr>
        <w:t>项目合同</w:t>
      </w:r>
    </w:p>
    <w:p w14:paraId="4C857AFC">
      <w:pPr>
        <w:spacing w:line="360" w:lineRule="auto"/>
        <w:rPr>
          <w:rFonts w:hint="eastAsia" w:ascii="宋体" w:hAnsi="宋体" w:eastAsia="宋体" w:cs="宋体"/>
          <w:b/>
          <w:sz w:val="24"/>
          <w:szCs w:val="24"/>
        </w:rPr>
      </w:pPr>
    </w:p>
    <w:p w14:paraId="563BD872">
      <w:pPr>
        <w:spacing w:line="360" w:lineRule="auto"/>
        <w:rPr>
          <w:rStyle w:val="25"/>
          <w:rFonts w:hint="eastAsia" w:ascii="宋体" w:hAnsi="宋体" w:eastAsia="宋体" w:cs="宋体"/>
          <w:sz w:val="24"/>
          <w:szCs w:val="24"/>
        </w:rPr>
      </w:pPr>
      <w:r>
        <w:rPr>
          <w:rFonts w:hint="eastAsia" w:ascii="宋体" w:hAnsi="宋体" w:eastAsia="宋体" w:cs="宋体"/>
          <w:b/>
          <w:sz w:val="24"/>
          <w:szCs w:val="24"/>
        </w:rPr>
        <w:t>合同签署日期：</w:t>
      </w:r>
      <w:r>
        <w:rPr>
          <w:rStyle w:val="25"/>
          <w:rFonts w:hint="eastAsia" w:ascii="宋体" w:hAnsi="宋体" w:eastAsia="宋体" w:cs="宋体"/>
          <w:b/>
          <w:sz w:val="24"/>
          <w:szCs w:val="24"/>
        </w:rPr>
        <w:t xml:space="preserve"> </w:t>
      </w:r>
    </w:p>
    <w:p w14:paraId="3D819AAE">
      <w:pPr>
        <w:spacing w:line="360" w:lineRule="auto"/>
        <w:rPr>
          <w:rFonts w:hint="eastAsia" w:ascii="宋体" w:hAnsi="宋体" w:eastAsia="宋体" w:cs="宋体"/>
          <w:sz w:val="24"/>
          <w:szCs w:val="24"/>
        </w:rPr>
      </w:pPr>
    </w:p>
    <w:p w14:paraId="680A39F0">
      <w:pPr>
        <w:spacing w:line="360" w:lineRule="auto"/>
        <w:rPr>
          <w:rFonts w:hint="eastAsia" w:ascii="宋体" w:hAnsi="宋体" w:eastAsia="宋体" w:cs="宋体"/>
          <w:sz w:val="24"/>
          <w:szCs w:val="24"/>
        </w:rPr>
      </w:pPr>
    </w:p>
    <w:p w14:paraId="6ECB9210">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cs="宋体"/>
          <w:sz w:val="24"/>
          <w:szCs w:val="24"/>
          <w:lang w:eastAsia="zh-CN"/>
        </w:rPr>
        <w:t>扬州北辰电气集团有限公司</w:t>
      </w:r>
      <w:r>
        <w:rPr>
          <w:rFonts w:hint="eastAsia" w:ascii="宋体" w:hAnsi="宋体" w:eastAsia="宋体" w:cs="宋体"/>
          <w:sz w:val="24"/>
          <w:szCs w:val="24"/>
        </w:rPr>
        <w:t>（盖章）</w:t>
      </w:r>
    </w:p>
    <w:p w14:paraId="5F574D30">
      <w:pPr>
        <w:spacing w:line="360" w:lineRule="auto"/>
        <w:rPr>
          <w:rFonts w:hint="eastAsia" w:ascii="宋体" w:hAnsi="宋体" w:eastAsia="宋体" w:cs="宋体"/>
          <w:sz w:val="24"/>
          <w:szCs w:val="24"/>
        </w:rPr>
      </w:pPr>
    </w:p>
    <w:p w14:paraId="616E3CB7">
      <w:pPr>
        <w:spacing w:line="360" w:lineRule="auto"/>
        <w:rPr>
          <w:rFonts w:hint="eastAsia" w:ascii="宋体" w:hAnsi="宋体" w:eastAsia="宋体" w:cs="宋体"/>
          <w:sz w:val="24"/>
          <w:szCs w:val="24"/>
        </w:rPr>
      </w:pPr>
    </w:p>
    <w:p w14:paraId="24C175EA">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法定代表人或授权代表签字：</w:t>
      </w:r>
    </w:p>
    <w:p w14:paraId="5040A232">
      <w:pPr>
        <w:spacing w:line="360" w:lineRule="auto"/>
        <w:rPr>
          <w:rFonts w:hint="eastAsia" w:ascii="宋体" w:hAnsi="宋体" w:eastAsia="宋体" w:cs="宋体"/>
          <w:sz w:val="24"/>
          <w:szCs w:val="24"/>
        </w:rPr>
      </w:pPr>
    </w:p>
    <w:p w14:paraId="165E4601">
      <w:pPr>
        <w:spacing w:line="360" w:lineRule="auto"/>
        <w:rPr>
          <w:rFonts w:hint="eastAsia" w:ascii="宋体" w:hAnsi="宋体" w:eastAsia="宋体" w:cs="宋体"/>
          <w:sz w:val="24"/>
          <w:szCs w:val="24"/>
        </w:rPr>
      </w:pPr>
    </w:p>
    <w:p w14:paraId="141FCA28">
      <w:pPr>
        <w:spacing w:line="360" w:lineRule="auto"/>
        <w:rPr>
          <w:rFonts w:hint="eastAsia" w:ascii="宋体" w:hAnsi="宋体" w:eastAsia="宋体" w:cs="宋体"/>
          <w:sz w:val="24"/>
          <w:szCs w:val="24"/>
        </w:rPr>
      </w:pPr>
    </w:p>
    <w:p w14:paraId="174D70D9">
      <w:pPr>
        <w:spacing w:line="360" w:lineRule="auto"/>
        <w:rPr>
          <w:rFonts w:hint="eastAsia" w:ascii="宋体" w:hAnsi="宋体" w:eastAsia="宋体" w:cs="宋体"/>
          <w:sz w:val="24"/>
          <w:szCs w:val="24"/>
        </w:rPr>
      </w:pPr>
    </w:p>
    <w:p w14:paraId="285506BD">
      <w:pPr>
        <w:spacing w:line="360" w:lineRule="auto"/>
        <w:rPr>
          <w:rFonts w:hint="eastAsia" w:ascii="宋体" w:hAnsi="宋体" w:eastAsia="宋体" w:cs="宋体"/>
          <w:sz w:val="24"/>
          <w:szCs w:val="24"/>
        </w:rPr>
      </w:pPr>
      <w:r>
        <w:rPr>
          <w:rFonts w:hint="eastAsia" w:ascii="宋体" w:hAnsi="宋体" w:eastAsia="宋体" w:cs="宋体"/>
          <w:sz w:val="24"/>
          <w:szCs w:val="24"/>
        </w:rPr>
        <w:t>乙方：XXX公司（盖章）</w:t>
      </w:r>
    </w:p>
    <w:p w14:paraId="5386B0BE">
      <w:pPr>
        <w:spacing w:line="360" w:lineRule="auto"/>
        <w:rPr>
          <w:rFonts w:hint="eastAsia" w:ascii="宋体" w:hAnsi="宋体" w:eastAsia="宋体" w:cs="宋体"/>
          <w:sz w:val="24"/>
          <w:szCs w:val="24"/>
        </w:rPr>
      </w:pPr>
    </w:p>
    <w:p w14:paraId="0E1B007B">
      <w:pPr>
        <w:spacing w:line="360" w:lineRule="auto"/>
        <w:rPr>
          <w:rFonts w:hint="eastAsia" w:ascii="宋体" w:hAnsi="宋体" w:eastAsia="宋体" w:cs="宋体"/>
          <w:sz w:val="24"/>
          <w:szCs w:val="24"/>
        </w:rPr>
      </w:pPr>
    </w:p>
    <w:p w14:paraId="044CBFED">
      <w:pPr>
        <w:spacing w:line="360" w:lineRule="auto"/>
        <w:rPr>
          <w:rStyle w:val="25"/>
          <w:rFonts w:hint="eastAsia" w:ascii="宋体" w:hAnsi="宋体" w:eastAsia="宋体" w:cs="宋体"/>
          <w:sz w:val="24"/>
          <w:szCs w:val="24"/>
        </w:rPr>
      </w:pPr>
      <w:r>
        <w:rPr>
          <w:rFonts w:hint="eastAsia" w:ascii="宋体" w:hAnsi="宋体" w:eastAsia="宋体" w:cs="宋体"/>
          <w:sz w:val="24"/>
          <w:szCs w:val="24"/>
        </w:rPr>
        <w:t>法定代表人或授权代表签字：</w:t>
      </w:r>
    </w:p>
    <w:p w14:paraId="5C8CC462">
      <w:pPr>
        <w:spacing w:line="360" w:lineRule="auto"/>
        <w:ind w:left="0" w:leftChars="0" w:firstLine="0" w:firstLineChars="0"/>
        <w:rPr>
          <w:rStyle w:val="25"/>
          <w:rFonts w:hint="eastAsia" w:ascii="宋体" w:hAnsi="宋体" w:eastAsia="宋体" w:cs="宋体"/>
          <w:sz w:val="24"/>
          <w:szCs w:val="24"/>
        </w:rPr>
      </w:pPr>
    </w:p>
    <w:sectPr>
      <w:headerReference r:id="rId5" w:type="default"/>
      <w:footerReference r:id="rId6" w:type="default"/>
      <w:pgSz w:w="11906" w:h="16838"/>
      <w:pgMar w:top="1440" w:right="1800" w:bottom="1440" w:left="1800" w:header="454" w:footer="964"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8F758">
    <w:pPr>
      <w:pStyle w:val="1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DE9608">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Na8P8XFAQAAkAMAAA4AAAAAAAAAAQAgAAAAHgEAAGRycy9lMm9Eb2MueG1s&#10;UEsFBgAAAAAGAAYAWQEAAFUFAAAAAA==&#10;">
              <v:fill on="f" focussize="0,0"/>
              <v:stroke on="f"/>
              <v:imagedata o:title=""/>
              <o:lock v:ext="edit" aspectratio="f"/>
              <v:textbox inset="0mm,0mm,0mm,0mm" style="mso-fit-shape-to-text:t;">
                <w:txbxContent>
                  <w:p w14:paraId="5DDE9608">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D603F">
    <w:pPr>
      <w:pStyle w:val="19"/>
      <w:keepNext w:val="0"/>
      <w:keepLines w:val="0"/>
      <w:pageBreakBefore w:val="0"/>
      <w:widowControl w:val="0"/>
      <w:kinsoku/>
      <w:wordWrap/>
      <w:overflowPunct/>
      <w:topLinePunct w:val="0"/>
      <w:bidi w:val="0"/>
      <w:adjustRightInd w:val="0"/>
      <w:snapToGrid w:val="0"/>
      <w:ind w:firstLine="0" w:firstLineChars="0"/>
      <w:jc w:val="left"/>
      <w:textAlignment w:val="auto"/>
      <w:rPr>
        <w:rFonts w:hint="default" w:eastAsia="宋体"/>
        <w:sz w:val="21"/>
        <w:szCs w:val="21"/>
        <w:lang w:val="en-US" w:eastAsia="zh-CN"/>
      </w:rPr>
    </w:pPr>
    <w:r>
      <w:rPr>
        <w:rFonts w:hint="eastAsia"/>
      </w:rPr>
      <w:t xml:space="preserve">                                       </w:t>
    </w:r>
    <w:r>
      <w:rPr>
        <w:rFonts w:hint="eastAsia"/>
        <w:lang w:val="en-US" w:eastAsia="zh-CN"/>
      </w:rPr>
      <w:t xml:space="preserve">            </w:t>
    </w:r>
    <w:r>
      <w:rPr>
        <w:rFonts w:hint="eastAsia"/>
        <w:sz w:val="21"/>
        <w:szCs w:val="21"/>
        <w:lang w:val="en-US" w:eastAsia="zh-CN"/>
      </w:rPr>
      <w:t>扬州北辰电气集团有限公司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D47E2B"/>
    <w:multiLevelType w:val="singleLevel"/>
    <w:tmpl w:val="F1D47E2B"/>
    <w:lvl w:ilvl="0" w:tentative="0">
      <w:start w:val="1"/>
      <w:numFmt w:val="decimal"/>
      <w:suff w:val="nothing"/>
      <w:lvlText w:val="%1、"/>
      <w:lvlJc w:val="left"/>
    </w:lvl>
  </w:abstractNum>
  <w:abstractNum w:abstractNumId="1">
    <w:nsid w:val="05320034"/>
    <w:multiLevelType w:val="singleLevel"/>
    <w:tmpl w:val="05320034"/>
    <w:lvl w:ilvl="0" w:tentative="0">
      <w:start w:val="1"/>
      <w:numFmt w:val="decimal"/>
      <w:lvlText w:val="(%1)"/>
      <w:lvlJc w:val="left"/>
      <w:pPr>
        <w:ind w:left="425" w:hanging="425"/>
      </w:pPr>
      <w:rPr>
        <w:rFonts w:hint="default"/>
      </w:rPr>
    </w:lvl>
  </w:abstractNum>
  <w:abstractNum w:abstractNumId="2">
    <w:nsid w:val="1E9B7749"/>
    <w:multiLevelType w:val="multilevel"/>
    <w:tmpl w:val="1E9B7749"/>
    <w:lvl w:ilvl="0" w:tentative="0">
      <w:start w:val="1"/>
      <w:numFmt w:val="chineseCounting"/>
      <w:pStyle w:val="2"/>
      <w:suff w:val="nothing"/>
      <w:lvlText w:val="%1、"/>
      <w:lvlJc w:val="left"/>
      <w:pPr>
        <w:tabs>
          <w:tab w:val="left" w:pos="0"/>
        </w:tabs>
        <w:ind w:left="0" w:firstLine="0"/>
      </w:pPr>
      <w:rPr>
        <w:rFonts w:hint="eastAsia"/>
      </w:rPr>
    </w:lvl>
    <w:lvl w:ilvl="1" w:tentative="0">
      <w:start w:val="1"/>
      <w:numFmt w:val="decimal"/>
      <w:pStyle w:val="3"/>
      <w:isLgl/>
      <w:suff w:val="nothing"/>
      <w:lvlText w:val="%1.%2、"/>
      <w:lvlJc w:val="left"/>
      <w:pPr>
        <w:ind w:left="0" w:firstLine="0"/>
      </w:pPr>
      <w:rPr>
        <w:rFonts w:hint="eastAsia"/>
      </w:rPr>
    </w:lvl>
    <w:lvl w:ilvl="2" w:tentative="0">
      <w:start w:val="1"/>
      <w:numFmt w:val="decimal"/>
      <w:pStyle w:val="4"/>
      <w:isLgl/>
      <w:suff w:val="nothing"/>
      <w:lvlText w:val="%1.%2.%3、"/>
      <w:lvlJc w:val="left"/>
      <w:pPr>
        <w:ind w:left="0" w:firstLine="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3">
    <w:nsid w:val="64569055"/>
    <w:multiLevelType w:val="singleLevel"/>
    <w:tmpl w:val="64569055"/>
    <w:lvl w:ilvl="0" w:tentative="0">
      <w:start w:val="1"/>
      <w:numFmt w:val="decimal"/>
      <w:lvlText w:val="%1."/>
      <w:lvlJc w:val="left"/>
      <w:pPr>
        <w:ind w:left="425" w:hanging="425"/>
      </w:pPr>
      <w:rPr>
        <w:rFonts w:hint="default"/>
      </w:rPr>
    </w:lvl>
  </w:abstractNum>
  <w:abstractNum w:abstractNumId="4">
    <w:nsid w:val="6585F89B"/>
    <w:multiLevelType w:val="singleLevel"/>
    <w:tmpl w:val="6585F89B"/>
    <w:lvl w:ilvl="0" w:tentative="0">
      <w:start w:val="1"/>
      <w:numFmt w:val="decimal"/>
      <w:lvlText w:val="%1."/>
      <w:lvlJc w:val="left"/>
      <w:pPr>
        <w:ind w:left="425" w:hanging="425"/>
      </w:pPr>
      <w:rPr>
        <w:rFonts w:hint="default"/>
      </w:rPr>
    </w:lvl>
  </w:abstractNum>
  <w:abstractNum w:abstractNumId="5">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4"/>
      <w:suff w:val="nothing"/>
      <w:lvlText w:val="%1%2　"/>
      <w:lvlJc w:val="left"/>
      <w:pPr>
        <w:ind w:left="0" w:firstLine="0"/>
      </w:pPr>
      <w:rPr>
        <w:rFonts w:hint="eastAsia" w:ascii="黑体" w:hAnsi="Times New Roman" w:eastAsia="黑体"/>
        <w:b w:val="0"/>
        <w:i w:val="0"/>
        <w:sz w:val="21"/>
      </w:rPr>
    </w:lvl>
    <w:lvl w:ilvl="2" w:tentative="0">
      <w:start w:val="1"/>
      <w:numFmt w:val="decimal"/>
      <w:pStyle w:val="1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xM2UxOTQ3ZDkxZTk2NGVmZDA0OTdkZTQ3NzBiZDkifQ=="/>
  </w:docVars>
  <w:rsids>
    <w:rsidRoot w:val="002E4433"/>
    <w:rsid w:val="000026EF"/>
    <w:rsid w:val="0001433B"/>
    <w:rsid w:val="0001658C"/>
    <w:rsid w:val="00017979"/>
    <w:rsid w:val="00017DA3"/>
    <w:rsid w:val="00020062"/>
    <w:rsid w:val="000234EB"/>
    <w:rsid w:val="000263FA"/>
    <w:rsid w:val="00030F06"/>
    <w:rsid w:val="000426F9"/>
    <w:rsid w:val="00042F13"/>
    <w:rsid w:val="000457F3"/>
    <w:rsid w:val="000468B9"/>
    <w:rsid w:val="00053D86"/>
    <w:rsid w:val="000632F0"/>
    <w:rsid w:val="000641B5"/>
    <w:rsid w:val="00071E56"/>
    <w:rsid w:val="00073617"/>
    <w:rsid w:val="00073F99"/>
    <w:rsid w:val="00074A44"/>
    <w:rsid w:val="000750EC"/>
    <w:rsid w:val="00082C9D"/>
    <w:rsid w:val="000845B7"/>
    <w:rsid w:val="00085F4B"/>
    <w:rsid w:val="00091304"/>
    <w:rsid w:val="00095494"/>
    <w:rsid w:val="000A0485"/>
    <w:rsid w:val="000A368E"/>
    <w:rsid w:val="000A3714"/>
    <w:rsid w:val="000B0DD2"/>
    <w:rsid w:val="000B1721"/>
    <w:rsid w:val="000B3C5D"/>
    <w:rsid w:val="000B455B"/>
    <w:rsid w:val="000B502B"/>
    <w:rsid w:val="000B7184"/>
    <w:rsid w:val="000B7911"/>
    <w:rsid w:val="000B7A12"/>
    <w:rsid w:val="000B7B5C"/>
    <w:rsid w:val="000C0DF8"/>
    <w:rsid w:val="000D46DB"/>
    <w:rsid w:val="000D4E5E"/>
    <w:rsid w:val="000D632C"/>
    <w:rsid w:val="000F5D3A"/>
    <w:rsid w:val="001015CA"/>
    <w:rsid w:val="001038E9"/>
    <w:rsid w:val="00103ABE"/>
    <w:rsid w:val="00105086"/>
    <w:rsid w:val="00106E70"/>
    <w:rsid w:val="00113081"/>
    <w:rsid w:val="00117F95"/>
    <w:rsid w:val="00120A66"/>
    <w:rsid w:val="0012435F"/>
    <w:rsid w:val="0012752B"/>
    <w:rsid w:val="00133F85"/>
    <w:rsid w:val="00134565"/>
    <w:rsid w:val="00141E3B"/>
    <w:rsid w:val="00144A0C"/>
    <w:rsid w:val="00145B2E"/>
    <w:rsid w:val="00145CB9"/>
    <w:rsid w:val="00151052"/>
    <w:rsid w:val="00153D78"/>
    <w:rsid w:val="00157536"/>
    <w:rsid w:val="0016149C"/>
    <w:rsid w:val="00164005"/>
    <w:rsid w:val="00170B94"/>
    <w:rsid w:val="00172246"/>
    <w:rsid w:val="00174F52"/>
    <w:rsid w:val="001766A4"/>
    <w:rsid w:val="00181BE0"/>
    <w:rsid w:val="001853C2"/>
    <w:rsid w:val="00186312"/>
    <w:rsid w:val="001933F8"/>
    <w:rsid w:val="00193F37"/>
    <w:rsid w:val="00196845"/>
    <w:rsid w:val="001A2832"/>
    <w:rsid w:val="001A5593"/>
    <w:rsid w:val="001B2A40"/>
    <w:rsid w:val="001B2D1C"/>
    <w:rsid w:val="001B58FA"/>
    <w:rsid w:val="001C225B"/>
    <w:rsid w:val="001D2E1F"/>
    <w:rsid w:val="001E155A"/>
    <w:rsid w:val="001F082A"/>
    <w:rsid w:val="00212A40"/>
    <w:rsid w:val="002163A5"/>
    <w:rsid w:val="00224011"/>
    <w:rsid w:val="0022749A"/>
    <w:rsid w:val="00242F5E"/>
    <w:rsid w:val="0024419C"/>
    <w:rsid w:val="00244CDD"/>
    <w:rsid w:val="00247206"/>
    <w:rsid w:val="0025367E"/>
    <w:rsid w:val="00264148"/>
    <w:rsid w:val="002670FA"/>
    <w:rsid w:val="002711B5"/>
    <w:rsid w:val="00272ED4"/>
    <w:rsid w:val="00273855"/>
    <w:rsid w:val="00276298"/>
    <w:rsid w:val="00276A6C"/>
    <w:rsid w:val="00276CB3"/>
    <w:rsid w:val="002810BC"/>
    <w:rsid w:val="00286525"/>
    <w:rsid w:val="00287ACD"/>
    <w:rsid w:val="00295698"/>
    <w:rsid w:val="00296196"/>
    <w:rsid w:val="002A77F4"/>
    <w:rsid w:val="002B2121"/>
    <w:rsid w:val="002B311B"/>
    <w:rsid w:val="002B3899"/>
    <w:rsid w:val="002B6D20"/>
    <w:rsid w:val="002C10C5"/>
    <w:rsid w:val="002C33A8"/>
    <w:rsid w:val="002C36D8"/>
    <w:rsid w:val="002C4D9C"/>
    <w:rsid w:val="002E1118"/>
    <w:rsid w:val="002E16D4"/>
    <w:rsid w:val="002E4433"/>
    <w:rsid w:val="002F0D13"/>
    <w:rsid w:val="002F10C8"/>
    <w:rsid w:val="00306FF1"/>
    <w:rsid w:val="0030798C"/>
    <w:rsid w:val="00317D72"/>
    <w:rsid w:val="00323474"/>
    <w:rsid w:val="00324008"/>
    <w:rsid w:val="0032761C"/>
    <w:rsid w:val="0032795B"/>
    <w:rsid w:val="00334361"/>
    <w:rsid w:val="00335F60"/>
    <w:rsid w:val="00341E7E"/>
    <w:rsid w:val="003442E2"/>
    <w:rsid w:val="003459EE"/>
    <w:rsid w:val="00347C0A"/>
    <w:rsid w:val="00350D7F"/>
    <w:rsid w:val="00351C21"/>
    <w:rsid w:val="00352748"/>
    <w:rsid w:val="00355FC6"/>
    <w:rsid w:val="00361F5F"/>
    <w:rsid w:val="00366A86"/>
    <w:rsid w:val="0036755F"/>
    <w:rsid w:val="00374AD7"/>
    <w:rsid w:val="003751ED"/>
    <w:rsid w:val="00375796"/>
    <w:rsid w:val="003761AC"/>
    <w:rsid w:val="00376508"/>
    <w:rsid w:val="0038267D"/>
    <w:rsid w:val="00387BCD"/>
    <w:rsid w:val="00387FA7"/>
    <w:rsid w:val="003908EE"/>
    <w:rsid w:val="00391DE1"/>
    <w:rsid w:val="0039596F"/>
    <w:rsid w:val="00397D57"/>
    <w:rsid w:val="003B0F20"/>
    <w:rsid w:val="003B5DC0"/>
    <w:rsid w:val="003B7CDC"/>
    <w:rsid w:val="003C053C"/>
    <w:rsid w:val="003C2019"/>
    <w:rsid w:val="003C305A"/>
    <w:rsid w:val="003C79FD"/>
    <w:rsid w:val="003D0498"/>
    <w:rsid w:val="003D0D10"/>
    <w:rsid w:val="003E0695"/>
    <w:rsid w:val="003E50FA"/>
    <w:rsid w:val="003E7E3C"/>
    <w:rsid w:val="003F2788"/>
    <w:rsid w:val="003F325E"/>
    <w:rsid w:val="003F41EE"/>
    <w:rsid w:val="00401D82"/>
    <w:rsid w:val="00406226"/>
    <w:rsid w:val="00410761"/>
    <w:rsid w:val="00413A1E"/>
    <w:rsid w:val="004216D9"/>
    <w:rsid w:val="00432448"/>
    <w:rsid w:val="0044018D"/>
    <w:rsid w:val="00447FB2"/>
    <w:rsid w:val="00465EF7"/>
    <w:rsid w:val="0047176A"/>
    <w:rsid w:val="00473D6B"/>
    <w:rsid w:val="00486C7C"/>
    <w:rsid w:val="004927DF"/>
    <w:rsid w:val="004931EA"/>
    <w:rsid w:val="00496AC1"/>
    <w:rsid w:val="00496F0A"/>
    <w:rsid w:val="004A498F"/>
    <w:rsid w:val="004A7C46"/>
    <w:rsid w:val="004B12B7"/>
    <w:rsid w:val="004C0407"/>
    <w:rsid w:val="004C0612"/>
    <w:rsid w:val="004C3BBE"/>
    <w:rsid w:val="004C49A2"/>
    <w:rsid w:val="004C5621"/>
    <w:rsid w:val="004C60C0"/>
    <w:rsid w:val="004D0A36"/>
    <w:rsid w:val="004D285F"/>
    <w:rsid w:val="004D5C78"/>
    <w:rsid w:val="004E395E"/>
    <w:rsid w:val="004E4286"/>
    <w:rsid w:val="004E6288"/>
    <w:rsid w:val="004F04E5"/>
    <w:rsid w:val="00502A8E"/>
    <w:rsid w:val="005049C3"/>
    <w:rsid w:val="005077CE"/>
    <w:rsid w:val="0051265A"/>
    <w:rsid w:val="00514E0B"/>
    <w:rsid w:val="00516431"/>
    <w:rsid w:val="00516B74"/>
    <w:rsid w:val="00521E25"/>
    <w:rsid w:val="00532312"/>
    <w:rsid w:val="00534D26"/>
    <w:rsid w:val="005356D4"/>
    <w:rsid w:val="00540BC3"/>
    <w:rsid w:val="005411FE"/>
    <w:rsid w:val="005414AC"/>
    <w:rsid w:val="00541BAE"/>
    <w:rsid w:val="00544730"/>
    <w:rsid w:val="00544B11"/>
    <w:rsid w:val="00545944"/>
    <w:rsid w:val="005468EC"/>
    <w:rsid w:val="00546C64"/>
    <w:rsid w:val="005503A1"/>
    <w:rsid w:val="005512E7"/>
    <w:rsid w:val="005520D7"/>
    <w:rsid w:val="00552CFD"/>
    <w:rsid w:val="00552FEB"/>
    <w:rsid w:val="00555381"/>
    <w:rsid w:val="00570783"/>
    <w:rsid w:val="005715AB"/>
    <w:rsid w:val="00572AFB"/>
    <w:rsid w:val="00580B68"/>
    <w:rsid w:val="00580F54"/>
    <w:rsid w:val="00581FF9"/>
    <w:rsid w:val="00590E91"/>
    <w:rsid w:val="00591637"/>
    <w:rsid w:val="005962D7"/>
    <w:rsid w:val="005A0F68"/>
    <w:rsid w:val="005A10F0"/>
    <w:rsid w:val="005A59DD"/>
    <w:rsid w:val="005A70D4"/>
    <w:rsid w:val="005A7DE0"/>
    <w:rsid w:val="005B0100"/>
    <w:rsid w:val="005B531F"/>
    <w:rsid w:val="005C41CD"/>
    <w:rsid w:val="005C6AC7"/>
    <w:rsid w:val="005D5492"/>
    <w:rsid w:val="005E1EC9"/>
    <w:rsid w:val="005E2485"/>
    <w:rsid w:val="005E3890"/>
    <w:rsid w:val="005E3AE0"/>
    <w:rsid w:val="005E41F7"/>
    <w:rsid w:val="005F278E"/>
    <w:rsid w:val="005F6F99"/>
    <w:rsid w:val="00600DC0"/>
    <w:rsid w:val="00606858"/>
    <w:rsid w:val="006108F5"/>
    <w:rsid w:val="00611508"/>
    <w:rsid w:val="00615A5F"/>
    <w:rsid w:val="006170D8"/>
    <w:rsid w:val="006207F8"/>
    <w:rsid w:val="00624666"/>
    <w:rsid w:val="00634567"/>
    <w:rsid w:val="006411CE"/>
    <w:rsid w:val="006438AD"/>
    <w:rsid w:val="006439A7"/>
    <w:rsid w:val="00654E8D"/>
    <w:rsid w:val="00655F23"/>
    <w:rsid w:val="00660C1A"/>
    <w:rsid w:val="00664210"/>
    <w:rsid w:val="00666C48"/>
    <w:rsid w:val="00671D51"/>
    <w:rsid w:val="0067371D"/>
    <w:rsid w:val="006765A1"/>
    <w:rsid w:val="00680B16"/>
    <w:rsid w:val="00691C71"/>
    <w:rsid w:val="00692140"/>
    <w:rsid w:val="00692EAF"/>
    <w:rsid w:val="00693700"/>
    <w:rsid w:val="00694653"/>
    <w:rsid w:val="006A6427"/>
    <w:rsid w:val="006B00FF"/>
    <w:rsid w:val="006B2AE7"/>
    <w:rsid w:val="006B32C7"/>
    <w:rsid w:val="006C4BE7"/>
    <w:rsid w:val="006D155C"/>
    <w:rsid w:val="006D32CE"/>
    <w:rsid w:val="006E0F0C"/>
    <w:rsid w:val="006F44F5"/>
    <w:rsid w:val="006F6E77"/>
    <w:rsid w:val="0070053C"/>
    <w:rsid w:val="00701405"/>
    <w:rsid w:val="0070308E"/>
    <w:rsid w:val="00711DDA"/>
    <w:rsid w:val="0071352F"/>
    <w:rsid w:val="007146BE"/>
    <w:rsid w:val="00721E00"/>
    <w:rsid w:val="00722032"/>
    <w:rsid w:val="00722AAB"/>
    <w:rsid w:val="0072580B"/>
    <w:rsid w:val="0073164B"/>
    <w:rsid w:val="00737ED2"/>
    <w:rsid w:val="00744487"/>
    <w:rsid w:val="00744FF1"/>
    <w:rsid w:val="0074578F"/>
    <w:rsid w:val="00750ED6"/>
    <w:rsid w:val="00753203"/>
    <w:rsid w:val="00754E98"/>
    <w:rsid w:val="00756D1F"/>
    <w:rsid w:val="00760803"/>
    <w:rsid w:val="00760AEC"/>
    <w:rsid w:val="00780861"/>
    <w:rsid w:val="00781362"/>
    <w:rsid w:val="00781D3D"/>
    <w:rsid w:val="00783BC4"/>
    <w:rsid w:val="0078489D"/>
    <w:rsid w:val="00791452"/>
    <w:rsid w:val="007A2E9E"/>
    <w:rsid w:val="007A3586"/>
    <w:rsid w:val="007A5512"/>
    <w:rsid w:val="007B11B9"/>
    <w:rsid w:val="007B1451"/>
    <w:rsid w:val="007C1CA1"/>
    <w:rsid w:val="007C3CB2"/>
    <w:rsid w:val="007C4D9D"/>
    <w:rsid w:val="007C603E"/>
    <w:rsid w:val="007D09F4"/>
    <w:rsid w:val="007D2A14"/>
    <w:rsid w:val="007D5097"/>
    <w:rsid w:val="007D57B0"/>
    <w:rsid w:val="007D77C2"/>
    <w:rsid w:val="007E1C35"/>
    <w:rsid w:val="007E5EEE"/>
    <w:rsid w:val="007F7475"/>
    <w:rsid w:val="008005A6"/>
    <w:rsid w:val="00810AD4"/>
    <w:rsid w:val="008124A1"/>
    <w:rsid w:val="00824A5E"/>
    <w:rsid w:val="00825622"/>
    <w:rsid w:val="00826B65"/>
    <w:rsid w:val="00833E13"/>
    <w:rsid w:val="00834A33"/>
    <w:rsid w:val="00834AE9"/>
    <w:rsid w:val="00834B16"/>
    <w:rsid w:val="00834E12"/>
    <w:rsid w:val="0084053E"/>
    <w:rsid w:val="0084177F"/>
    <w:rsid w:val="008439B0"/>
    <w:rsid w:val="00846744"/>
    <w:rsid w:val="00856260"/>
    <w:rsid w:val="008563A8"/>
    <w:rsid w:val="00860871"/>
    <w:rsid w:val="00860D26"/>
    <w:rsid w:val="00863F0A"/>
    <w:rsid w:val="0086497F"/>
    <w:rsid w:val="00864A18"/>
    <w:rsid w:val="00864A26"/>
    <w:rsid w:val="0087024F"/>
    <w:rsid w:val="00872737"/>
    <w:rsid w:val="00873402"/>
    <w:rsid w:val="0087505B"/>
    <w:rsid w:val="00877B69"/>
    <w:rsid w:val="0088578E"/>
    <w:rsid w:val="0089389D"/>
    <w:rsid w:val="00895BBC"/>
    <w:rsid w:val="008967B5"/>
    <w:rsid w:val="00896BAA"/>
    <w:rsid w:val="008A56CA"/>
    <w:rsid w:val="008B0582"/>
    <w:rsid w:val="008B173B"/>
    <w:rsid w:val="008B38BF"/>
    <w:rsid w:val="008B66EC"/>
    <w:rsid w:val="008C079F"/>
    <w:rsid w:val="008C62E3"/>
    <w:rsid w:val="008D0DB8"/>
    <w:rsid w:val="008D4556"/>
    <w:rsid w:val="008E0745"/>
    <w:rsid w:val="008E5732"/>
    <w:rsid w:val="008F11F4"/>
    <w:rsid w:val="008F1397"/>
    <w:rsid w:val="008F3069"/>
    <w:rsid w:val="00900CF1"/>
    <w:rsid w:val="009042CD"/>
    <w:rsid w:val="0090481D"/>
    <w:rsid w:val="0090692A"/>
    <w:rsid w:val="00911189"/>
    <w:rsid w:val="00911CAC"/>
    <w:rsid w:val="009204B9"/>
    <w:rsid w:val="0092586F"/>
    <w:rsid w:val="00931B7C"/>
    <w:rsid w:val="00933AA4"/>
    <w:rsid w:val="009345B0"/>
    <w:rsid w:val="009433F1"/>
    <w:rsid w:val="00944C7F"/>
    <w:rsid w:val="0095173E"/>
    <w:rsid w:val="00953C4F"/>
    <w:rsid w:val="009619D4"/>
    <w:rsid w:val="0096766F"/>
    <w:rsid w:val="009716F6"/>
    <w:rsid w:val="0097275C"/>
    <w:rsid w:val="00972E0A"/>
    <w:rsid w:val="009801AE"/>
    <w:rsid w:val="00982EDF"/>
    <w:rsid w:val="00984F77"/>
    <w:rsid w:val="00985647"/>
    <w:rsid w:val="0098580F"/>
    <w:rsid w:val="009861DC"/>
    <w:rsid w:val="009A2FD7"/>
    <w:rsid w:val="009A4DCB"/>
    <w:rsid w:val="009A6D17"/>
    <w:rsid w:val="009B03CE"/>
    <w:rsid w:val="009B3364"/>
    <w:rsid w:val="009B458C"/>
    <w:rsid w:val="009B59CD"/>
    <w:rsid w:val="009C0852"/>
    <w:rsid w:val="009C0E8D"/>
    <w:rsid w:val="009C3F15"/>
    <w:rsid w:val="009C54AB"/>
    <w:rsid w:val="009D0359"/>
    <w:rsid w:val="009D1D9D"/>
    <w:rsid w:val="009D20CC"/>
    <w:rsid w:val="009D51E2"/>
    <w:rsid w:val="009D55C9"/>
    <w:rsid w:val="009D7B02"/>
    <w:rsid w:val="009E04FB"/>
    <w:rsid w:val="009E0696"/>
    <w:rsid w:val="009E667A"/>
    <w:rsid w:val="009E7E05"/>
    <w:rsid w:val="009F0E4D"/>
    <w:rsid w:val="00A040CA"/>
    <w:rsid w:val="00A06213"/>
    <w:rsid w:val="00A100BE"/>
    <w:rsid w:val="00A105E2"/>
    <w:rsid w:val="00A1348B"/>
    <w:rsid w:val="00A15586"/>
    <w:rsid w:val="00A26C53"/>
    <w:rsid w:val="00A30EF9"/>
    <w:rsid w:val="00A35CC7"/>
    <w:rsid w:val="00A37861"/>
    <w:rsid w:val="00A378E7"/>
    <w:rsid w:val="00A407DF"/>
    <w:rsid w:val="00A41E64"/>
    <w:rsid w:val="00A455E9"/>
    <w:rsid w:val="00A45ADC"/>
    <w:rsid w:val="00A50703"/>
    <w:rsid w:val="00A54AD2"/>
    <w:rsid w:val="00A55DD3"/>
    <w:rsid w:val="00A6013A"/>
    <w:rsid w:val="00A67A26"/>
    <w:rsid w:val="00A73BCE"/>
    <w:rsid w:val="00A75484"/>
    <w:rsid w:val="00A756B7"/>
    <w:rsid w:val="00A77467"/>
    <w:rsid w:val="00A846B6"/>
    <w:rsid w:val="00A9281E"/>
    <w:rsid w:val="00A94689"/>
    <w:rsid w:val="00AA2807"/>
    <w:rsid w:val="00AA2F60"/>
    <w:rsid w:val="00AA3493"/>
    <w:rsid w:val="00AA3CEC"/>
    <w:rsid w:val="00AB0F8E"/>
    <w:rsid w:val="00AB384C"/>
    <w:rsid w:val="00AB7C13"/>
    <w:rsid w:val="00AB7C6E"/>
    <w:rsid w:val="00AC18CB"/>
    <w:rsid w:val="00AC4515"/>
    <w:rsid w:val="00AC51B3"/>
    <w:rsid w:val="00AC62DD"/>
    <w:rsid w:val="00AE007B"/>
    <w:rsid w:val="00AE5109"/>
    <w:rsid w:val="00AE78E8"/>
    <w:rsid w:val="00AF28D3"/>
    <w:rsid w:val="00B04040"/>
    <w:rsid w:val="00B07074"/>
    <w:rsid w:val="00B1029E"/>
    <w:rsid w:val="00B12CF5"/>
    <w:rsid w:val="00B13F8F"/>
    <w:rsid w:val="00B14D7C"/>
    <w:rsid w:val="00B20D88"/>
    <w:rsid w:val="00B217C9"/>
    <w:rsid w:val="00B43CAE"/>
    <w:rsid w:val="00B505A5"/>
    <w:rsid w:val="00B51099"/>
    <w:rsid w:val="00B5285A"/>
    <w:rsid w:val="00B53370"/>
    <w:rsid w:val="00B5397F"/>
    <w:rsid w:val="00B53B29"/>
    <w:rsid w:val="00B54E9A"/>
    <w:rsid w:val="00B55DD0"/>
    <w:rsid w:val="00B5651A"/>
    <w:rsid w:val="00B57EDD"/>
    <w:rsid w:val="00B63704"/>
    <w:rsid w:val="00B71060"/>
    <w:rsid w:val="00B73FB5"/>
    <w:rsid w:val="00B77A16"/>
    <w:rsid w:val="00B80703"/>
    <w:rsid w:val="00B82093"/>
    <w:rsid w:val="00B87A53"/>
    <w:rsid w:val="00B90348"/>
    <w:rsid w:val="00B93F1B"/>
    <w:rsid w:val="00B961FD"/>
    <w:rsid w:val="00BA0374"/>
    <w:rsid w:val="00BA1A34"/>
    <w:rsid w:val="00BA475F"/>
    <w:rsid w:val="00BA47E2"/>
    <w:rsid w:val="00BA4EF3"/>
    <w:rsid w:val="00BB5018"/>
    <w:rsid w:val="00BC07F5"/>
    <w:rsid w:val="00BC4265"/>
    <w:rsid w:val="00BC6EE9"/>
    <w:rsid w:val="00BC7558"/>
    <w:rsid w:val="00BD1992"/>
    <w:rsid w:val="00BD6C02"/>
    <w:rsid w:val="00BD7932"/>
    <w:rsid w:val="00C03D2D"/>
    <w:rsid w:val="00C05611"/>
    <w:rsid w:val="00C133A8"/>
    <w:rsid w:val="00C15389"/>
    <w:rsid w:val="00C20E6F"/>
    <w:rsid w:val="00C22474"/>
    <w:rsid w:val="00C24041"/>
    <w:rsid w:val="00C25D80"/>
    <w:rsid w:val="00C25D92"/>
    <w:rsid w:val="00C2620F"/>
    <w:rsid w:val="00C316F5"/>
    <w:rsid w:val="00C32DAA"/>
    <w:rsid w:val="00C33266"/>
    <w:rsid w:val="00C34623"/>
    <w:rsid w:val="00C34C6C"/>
    <w:rsid w:val="00C34D23"/>
    <w:rsid w:val="00C360C5"/>
    <w:rsid w:val="00C3707E"/>
    <w:rsid w:val="00C40EDD"/>
    <w:rsid w:val="00C52168"/>
    <w:rsid w:val="00C54182"/>
    <w:rsid w:val="00C56292"/>
    <w:rsid w:val="00C6075F"/>
    <w:rsid w:val="00C608E6"/>
    <w:rsid w:val="00C62F51"/>
    <w:rsid w:val="00C672AE"/>
    <w:rsid w:val="00C7043A"/>
    <w:rsid w:val="00C73651"/>
    <w:rsid w:val="00C77DEF"/>
    <w:rsid w:val="00C90FF1"/>
    <w:rsid w:val="00C91596"/>
    <w:rsid w:val="00CA6FE6"/>
    <w:rsid w:val="00CB0EEA"/>
    <w:rsid w:val="00CB3494"/>
    <w:rsid w:val="00CB3544"/>
    <w:rsid w:val="00CB67C3"/>
    <w:rsid w:val="00CB7B2B"/>
    <w:rsid w:val="00CD052D"/>
    <w:rsid w:val="00CD6D16"/>
    <w:rsid w:val="00CE1751"/>
    <w:rsid w:val="00CE545A"/>
    <w:rsid w:val="00CE6D74"/>
    <w:rsid w:val="00CE7982"/>
    <w:rsid w:val="00CF44F5"/>
    <w:rsid w:val="00D01FB6"/>
    <w:rsid w:val="00D21796"/>
    <w:rsid w:val="00D21AD9"/>
    <w:rsid w:val="00D25D01"/>
    <w:rsid w:val="00D27B57"/>
    <w:rsid w:val="00D31FAE"/>
    <w:rsid w:val="00D32CA7"/>
    <w:rsid w:val="00D333AC"/>
    <w:rsid w:val="00D344A1"/>
    <w:rsid w:val="00D362FE"/>
    <w:rsid w:val="00D36F9D"/>
    <w:rsid w:val="00D37DA5"/>
    <w:rsid w:val="00D52854"/>
    <w:rsid w:val="00D627AC"/>
    <w:rsid w:val="00D64A71"/>
    <w:rsid w:val="00D67F54"/>
    <w:rsid w:val="00D805FD"/>
    <w:rsid w:val="00D826FA"/>
    <w:rsid w:val="00D827E1"/>
    <w:rsid w:val="00D85444"/>
    <w:rsid w:val="00D8691E"/>
    <w:rsid w:val="00D87ED1"/>
    <w:rsid w:val="00DA0594"/>
    <w:rsid w:val="00DA174C"/>
    <w:rsid w:val="00DA78BD"/>
    <w:rsid w:val="00DB4135"/>
    <w:rsid w:val="00DB59CB"/>
    <w:rsid w:val="00DC01D8"/>
    <w:rsid w:val="00DC02D5"/>
    <w:rsid w:val="00DC1F69"/>
    <w:rsid w:val="00DC6BCC"/>
    <w:rsid w:val="00DD4FCE"/>
    <w:rsid w:val="00DE0A2C"/>
    <w:rsid w:val="00DE0CD9"/>
    <w:rsid w:val="00DE3F88"/>
    <w:rsid w:val="00DE414F"/>
    <w:rsid w:val="00DE7287"/>
    <w:rsid w:val="00DE783D"/>
    <w:rsid w:val="00DF3ECE"/>
    <w:rsid w:val="00DF6EBB"/>
    <w:rsid w:val="00DF6FEB"/>
    <w:rsid w:val="00E030CF"/>
    <w:rsid w:val="00E04113"/>
    <w:rsid w:val="00E05306"/>
    <w:rsid w:val="00E075D3"/>
    <w:rsid w:val="00E132B1"/>
    <w:rsid w:val="00E15C88"/>
    <w:rsid w:val="00E22F49"/>
    <w:rsid w:val="00E26CF3"/>
    <w:rsid w:val="00E27448"/>
    <w:rsid w:val="00E2755F"/>
    <w:rsid w:val="00E31002"/>
    <w:rsid w:val="00E3346E"/>
    <w:rsid w:val="00E37561"/>
    <w:rsid w:val="00E50CEE"/>
    <w:rsid w:val="00E5385A"/>
    <w:rsid w:val="00E54D50"/>
    <w:rsid w:val="00E563D4"/>
    <w:rsid w:val="00E57320"/>
    <w:rsid w:val="00E638D3"/>
    <w:rsid w:val="00E70F89"/>
    <w:rsid w:val="00E717F0"/>
    <w:rsid w:val="00E83C0E"/>
    <w:rsid w:val="00E84C82"/>
    <w:rsid w:val="00E9311C"/>
    <w:rsid w:val="00E93F89"/>
    <w:rsid w:val="00EB2A1C"/>
    <w:rsid w:val="00EB7800"/>
    <w:rsid w:val="00EC07A5"/>
    <w:rsid w:val="00EC1AFD"/>
    <w:rsid w:val="00EC44DB"/>
    <w:rsid w:val="00EC4A05"/>
    <w:rsid w:val="00ED090D"/>
    <w:rsid w:val="00ED31CD"/>
    <w:rsid w:val="00EF2788"/>
    <w:rsid w:val="00EF5A4D"/>
    <w:rsid w:val="00EF7788"/>
    <w:rsid w:val="00F01C25"/>
    <w:rsid w:val="00F122D6"/>
    <w:rsid w:val="00F1298E"/>
    <w:rsid w:val="00F14790"/>
    <w:rsid w:val="00F237D1"/>
    <w:rsid w:val="00F26E76"/>
    <w:rsid w:val="00F30178"/>
    <w:rsid w:val="00F30B59"/>
    <w:rsid w:val="00F31688"/>
    <w:rsid w:val="00F324B3"/>
    <w:rsid w:val="00F34079"/>
    <w:rsid w:val="00F36CB1"/>
    <w:rsid w:val="00F46300"/>
    <w:rsid w:val="00F5637E"/>
    <w:rsid w:val="00F672BB"/>
    <w:rsid w:val="00F71533"/>
    <w:rsid w:val="00F744C1"/>
    <w:rsid w:val="00F93534"/>
    <w:rsid w:val="00F93E71"/>
    <w:rsid w:val="00F97100"/>
    <w:rsid w:val="00FA50C9"/>
    <w:rsid w:val="00FC55BE"/>
    <w:rsid w:val="00FC6040"/>
    <w:rsid w:val="00FC656C"/>
    <w:rsid w:val="00FD1E5C"/>
    <w:rsid w:val="00FD25DD"/>
    <w:rsid w:val="00FD2C85"/>
    <w:rsid w:val="00FD38AE"/>
    <w:rsid w:val="00FF110B"/>
    <w:rsid w:val="00FF1E6D"/>
    <w:rsid w:val="00FF1F56"/>
    <w:rsid w:val="00FF2057"/>
    <w:rsid w:val="00FF364F"/>
    <w:rsid w:val="01443BEC"/>
    <w:rsid w:val="01707A92"/>
    <w:rsid w:val="023826FB"/>
    <w:rsid w:val="030A5E0C"/>
    <w:rsid w:val="031E0C6A"/>
    <w:rsid w:val="03711AE4"/>
    <w:rsid w:val="039F707D"/>
    <w:rsid w:val="03A52079"/>
    <w:rsid w:val="04031143"/>
    <w:rsid w:val="040C1F35"/>
    <w:rsid w:val="05284B01"/>
    <w:rsid w:val="052E1A70"/>
    <w:rsid w:val="07397738"/>
    <w:rsid w:val="075B6855"/>
    <w:rsid w:val="07852C66"/>
    <w:rsid w:val="07A84FDD"/>
    <w:rsid w:val="08652161"/>
    <w:rsid w:val="0879136E"/>
    <w:rsid w:val="0A236FC6"/>
    <w:rsid w:val="0AC076B1"/>
    <w:rsid w:val="0AC53B39"/>
    <w:rsid w:val="0C870DB7"/>
    <w:rsid w:val="0CE3713F"/>
    <w:rsid w:val="0D0A17F5"/>
    <w:rsid w:val="0D3A4542"/>
    <w:rsid w:val="0D874FB6"/>
    <w:rsid w:val="0DFB1885"/>
    <w:rsid w:val="0E6031C6"/>
    <w:rsid w:val="0EAB5BCC"/>
    <w:rsid w:val="0EE920EC"/>
    <w:rsid w:val="0F635177"/>
    <w:rsid w:val="108C6F6A"/>
    <w:rsid w:val="108D3F6A"/>
    <w:rsid w:val="11966FA0"/>
    <w:rsid w:val="124405FE"/>
    <w:rsid w:val="12841571"/>
    <w:rsid w:val="132F1230"/>
    <w:rsid w:val="1359116A"/>
    <w:rsid w:val="13773F81"/>
    <w:rsid w:val="13DF5E1B"/>
    <w:rsid w:val="14A75C2B"/>
    <w:rsid w:val="15FF1947"/>
    <w:rsid w:val="160D52BA"/>
    <w:rsid w:val="171829E1"/>
    <w:rsid w:val="17F16FB6"/>
    <w:rsid w:val="182D2D36"/>
    <w:rsid w:val="18A24E24"/>
    <w:rsid w:val="19834C82"/>
    <w:rsid w:val="19E154F1"/>
    <w:rsid w:val="1A3A18AD"/>
    <w:rsid w:val="1A874FBD"/>
    <w:rsid w:val="1B3E0D1E"/>
    <w:rsid w:val="1B53222B"/>
    <w:rsid w:val="1B905946"/>
    <w:rsid w:val="1C3109C5"/>
    <w:rsid w:val="1CCB1E4B"/>
    <w:rsid w:val="1E06715A"/>
    <w:rsid w:val="1F184F13"/>
    <w:rsid w:val="1F332EBA"/>
    <w:rsid w:val="1F4D1EEA"/>
    <w:rsid w:val="20AF62AE"/>
    <w:rsid w:val="211C0758"/>
    <w:rsid w:val="22B23EE1"/>
    <w:rsid w:val="24C84A41"/>
    <w:rsid w:val="24D334FA"/>
    <w:rsid w:val="25F23122"/>
    <w:rsid w:val="26A91955"/>
    <w:rsid w:val="26FB7488"/>
    <w:rsid w:val="27054D1B"/>
    <w:rsid w:val="274C067D"/>
    <w:rsid w:val="278D1EDB"/>
    <w:rsid w:val="27E47234"/>
    <w:rsid w:val="28075BAF"/>
    <w:rsid w:val="29A077A1"/>
    <w:rsid w:val="2A7A5C2D"/>
    <w:rsid w:val="2BAF5017"/>
    <w:rsid w:val="2D862A49"/>
    <w:rsid w:val="2DA06AE3"/>
    <w:rsid w:val="2DC50F24"/>
    <w:rsid w:val="2DE52F90"/>
    <w:rsid w:val="2DEF181E"/>
    <w:rsid w:val="2E9C2616"/>
    <w:rsid w:val="2F29073F"/>
    <w:rsid w:val="308A0256"/>
    <w:rsid w:val="316B5963"/>
    <w:rsid w:val="33B74960"/>
    <w:rsid w:val="347C06A8"/>
    <w:rsid w:val="35CE7B82"/>
    <w:rsid w:val="35D629F5"/>
    <w:rsid w:val="35D90BE5"/>
    <w:rsid w:val="35E16EBF"/>
    <w:rsid w:val="3685380B"/>
    <w:rsid w:val="36A82F99"/>
    <w:rsid w:val="38071546"/>
    <w:rsid w:val="381C311D"/>
    <w:rsid w:val="390A6409"/>
    <w:rsid w:val="39726AD8"/>
    <w:rsid w:val="39B61C84"/>
    <w:rsid w:val="3B5B365D"/>
    <w:rsid w:val="3B874F4B"/>
    <w:rsid w:val="3BA0695E"/>
    <w:rsid w:val="3CBF08B8"/>
    <w:rsid w:val="3D9B2183"/>
    <w:rsid w:val="3DDB2FE4"/>
    <w:rsid w:val="3F75531A"/>
    <w:rsid w:val="4008709B"/>
    <w:rsid w:val="419A57CC"/>
    <w:rsid w:val="42A34E8E"/>
    <w:rsid w:val="42D27F5D"/>
    <w:rsid w:val="42E84D19"/>
    <w:rsid w:val="42F92D93"/>
    <w:rsid w:val="46345DA6"/>
    <w:rsid w:val="467847F5"/>
    <w:rsid w:val="46B90E66"/>
    <w:rsid w:val="47441C3A"/>
    <w:rsid w:val="48612726"/>
    <w:rsid w:val="48C454AF"/>
    <w:rsid w:val="49BD0406"/>
    <w:rsid w:val="4A6046F1"/>
    <w:rsid w:val="4AC047B0"/>
    <w:rsid w:val="4B286E27"/>
    <w:rsid w:val="4C445AB0"/>
    <w:rsid w:val="4C877BAB"/>
    <w:rsid w:val="4C882AFA"/>
    <w:rsid w:val="4D951F54"/>
    <w:rsid w:val="4E2773B7"/>
    <w:rsid w:val="4E4C2783"/>
    <w:rsid w:val="4EC24D34"/>
    <w:rsid w:val="4EE12609"/>
    <w:rsid w:val="4F1B71A6"/>
    <w:rsid w:val="4F6472FD"/>
    <w:rsid w:val="50582C79"/>
    <w:rsid w:val="51F77D06"/>
    <w:rsid w:val="529E0234"/>
    <w:rsid w:val="53CF0914"/>
    <w:rsid w:val="557B6EE2"/>
    <w:rsid w:val="563B4E48"/>
    <w:rsid w:val="57025F1C"/>
    <w:rsid w:val="57092B7D"/>
    <w:rsid w:val="573A1134"/>
    <w:rsid w:val="574B0814"/>
    <w:rsid w:val="57F8000E"/>
    <w:rsid w:val="594E3790"/>
    <w:rsid w:val="5AAE10A7"/>
    <w:rsid w:val="5AFF0F58"/>
    <w:rsid w:val="5B89429A"/>
    <w:rsid w:val="5B947E22"/>
    <w:rsid w:val="5C4557EC"/>
    <w:rsid w:val="5C7A266E"/>
    <w:rsid w:val="5CBF10E0"/>
    <w:rsid w:val="5E130566"/>
    <w:rsid w:val="5E6153BC"/>
    <w:rsid w:val="5E6D70AB"/>
    <w:rsid w:val="5EC75786"/>
    <w:rsid w:val="5F5A0C53"/>
    <w:rsid w:val="604030F9"/>
    <w:rsid w:val="60F4769E"/>
    <w:rsid w:val="625F30F4"/>
    <w:rsid w:val="62976109"/>
    <w:rsid w:val="63D351D4"/>
    <w:rsid w:val="64D67DF0"/>
    <w:rsid w:val="65D5268D"/>
    <w:rsid w:val="66C26652"/>
    <w:rsid w:val="671942AB"/>
    <w:rsid w:val="673F4E70"/>
    <w:rsid w:val="67726F0C"/>
    <w:rsid w:val="677A1AC0"/>
    <w:rsid w:val="684E7E9F"/>
    <w:rsid w:val="69CB581E"/>
    <w:rsid w:val="6AA32756"/>
    <w:rsid w:val="6B417F70"/>
    <w:rsid w:val="6BC40421"/>
    <w:rsid w:val="6BDE06DC"/>
    <w:rsid w:val="6D024709"/>
    <w:rsid w:val="6DCE61B4"/>
    <w:rsid w:val="6DDA2A0A"/>
    <w:rsid w:val="6E7F022A"/>
    <w:rsid w:val="6EE47802"/>
    <w:rsid w:val="70FF3672"/>
    <w:rsid w:val="72072A5D"/>
    <w:rsid w:val="72362314"/>
    <w:rsid w:val="72CD478B"/>
    <w:rsid w:val="73910128"/>
    <w:rsid w:val="740A0499"/>
    <w:rsid w:val="75235456"/>
    <w:rsid w:val="755E741F"/>
    <w:rsid w:val="766366F1"/>
    <w:rsid w:val="77AF0146"/>
    <w:rsid w:val="788C60B5"/>
    <w:rsid w:val="7906635A"/>
    <w:rsid w:val="79BD7948"/>
    <w:rsid w:val="7A870833"/>
    <w:rsid w:val="7B0E5FF1"/>
    <w:rsid w:val="7BC01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480" w:firstLineChars="200"/>
      <w:jc w:val="both"/>
    </w:pPr>
    <w:rPr>
      <w:rFonts w:eastAsia="宋体" w:asciiTheme="minorAscii" w:hAnsiTheme="minorAscii" w:cstheme="minorBidi"/>
      <w:kern w:val="2"/>
      <w:sz w:val="24"/>
      <w:szCs w:val="22"/>
      <w:lang w:val="en-US" w:eastAsia="zh-CN" w:bidi="ar-SA"/>
    </w:rPr>
  </w:style>
  <w:style w:type="paragraph" w:styleId="2">
    <w:name w:val="heading 1"/>
    <w:basedOn w:val="1"/>
    <w:next w:val="1"/>
    <w:qFormat/>
    <w:uiPriority w:val="9"/>
    <w:pPr>
      <w:numPr>
        <w:ilvl w:val="0"/>
        <w:numId w:val="1"/>
      </w:numPr>
      <w:adjustRightInd w:val="0"/>
      <w:snapToGrid w:val="0"/>
      <w:spacing w:before="50" w:beforeLines="50" w:after="50" w:afterLines="50"/>
      <w:ind w:firstLine="0" w:firstLineChars="0"/>
      <w:outlineLvl w:val="0"/>
    </w:pPr>
    <w:rPr>
      <w:rFonts w:ascii="宋体" w:hAnsi="宋体" w:cs="宋体"/>
      <w:b/>
      <w:bCs/>
      <w:szCs w:val="24"/>
    </w:rPr>
  </w:style>
  <w:style w:type="paragraph" w:styleId="3">
    <w:name w:val="heading 2"/>
    <w:basedOn w:val="1"/>
    <w:next w:val="1"/>
    <w:unhideWhenUsed/>
    <w:qFormat/>
    <w:uiPriority w:val="9"/>
    <w:pPr>
      <w:keepNext/>
      <w:keepLines/>
      <w:numPr>
        <w:ilvl w:val="1"/>
        <w:numId w:val="1"/>
      </w:numPr>
      <w:spacing w:before="260" w:after="260" w:line="416" w:lineRule="auto"/>
      <w:ind w:firstLine="0" w:firstLineChars="0"/>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keepLines/>
      <w:numPr>
        <w:ilvl w:val="2"/>
        <w:numId w:val="1"/>
      </w:numPr>
      <w:spacing w:before="260" w:beforeLines="0" w:beforeAutospacing="0" w:after="260" w:afterLines="0" w:afterAutospacing="0" w:line="413" w:lineRule="auto"/>
      <w:ind w:firstLine="0" w:firstLineChars="0"/>
      <w:outlineLvl w:val="2"/>
    </w:pPr>
    <w:rPr>
      <w:b/>
      <w:sz w:val="32"/>
    </w:rPr>
  </w:style>
  <w:style w:type="paragraph" w:styleId="5">
    <w:name w:val="heading 4"/>
    <w:basedOn w:val="1"/>
    <w:next w:val="1"/>
    <w:semiHidden/>
    <w:unhideWhenUsed/>
    <w:qFormat/>
    <w:uiPriority w:val="9"/>
    <w:pPr>
      <w:keepNext/>
      <w:keepLines/>
      <w:numPr>
        <w:ilvl w:val="3"/>
        <w:numId w:val="1"/>
      </w:numPr>
      <w:spacing w:before="280" w:beforeLines="0" w:beforeAutospacing="0" w:after="290" w:afterLines="0" w:afterAutospacing="0" w:line="372" w:lineRule="auto"/>
      <w:ind w:firstLine="402" w:firstLineChars="0"/>
      <w:outlineLvl w:val="3"/>
    </w:pPr>
    <w:rPr>
      <w:rFonts w:ascii="Arial" w:hAnsi="Arial" w:eastAsia="黑体"/>
      <w:b/>
      <w:sz w:val="28"/>
    </w:rPr>
  </w:style>
  <w:style w:type="paragraph" w:styleId="6">
    <w:name w:val="heading 5"/>
    <w:basedOn w:val="1"/>
    <w:next w:val="1"/>
    <w:semiHidden/>
    <w:unhideWhenUsed/>
    <w:qFormat/>
    <w:uiPriority w:val="9"/>
    <w:pPr>
      <w:keepNext/>
      <w:keepLines/>
      <w:numPr>
        <w:ilvl w:val="4"/>
        <w:numId w:val="1"/>
      </w:numPr>
      <w:spacing w:before="280" w:beforeLines="0" w:beforeAutospacing="0" w:after="290" w:afterLines="0" w:afterAutospacing="0" w:line="372" w:lineRule="auto"/>
      <w:ind w:firstLine="402" w:firstLineChars="0"/>
      <w:outlineLvl w:val="4"/>
    </w:pPr>
    <w:rPr>
      <w:b/>
      <w:sz w:val="28"/>
    </w:rPr>
  </w:style>
  <w:style w:type="paragraph" w:styleId="7">
    <w:name w:val="heading 6"/>
    <w:basedOn w:val="1"/>
    <w:next w:val="1"/>
    <w:semiHidden/>
    <w:unhideWhenUsed/>
    <w:qFormat/>
    <w:uiPriority w:val="9"/>
    <w:pPr>
      <w:keepNext/>
      <w:keepLines/>
      <w:numPr>
        <w:ilvl w:val="5"/>
        <w:numId w:val="1"/>
      </w:numPr>
      <w:spacing w:before="240" w:beforeLines="0" w:beforeAutospacing="0" w:after="64" w:afterLines="0" w:afterAutospacing="0" w:line="317" w:lineRule="auto"/>
      <w:ind w:firstLine="402" w:firstLineChars="0"/>
      <w:outlineLvl w:val="5"/>
    </w:pPr>
    <w:rPr>
      <w:rFonts w:ascii="Arial" w:hAnsi="Arial" w:eastAsia="黑体"/>
      <w:b/>
      <w:sz w:val="24"/>
    </w:rPr>
  </w:style>
  <w:style w:type="paragraph" w:styleId="8">
    <w:name w:val="heading 7"/>
    <w:basedOn w:val="1"/>
    <w:next w:val="1"/>
    <w:semiHidden/>
    <w:unhideWhenUsed/>
    <w:qFormat/>
    <w:uiPriority w:val="9"/>
    <w:pPr>
      <w:keepNext/>
      <w:keepLines/>
      <w:numPr>
        <w:ilvl w:val="6"/>
        <w:numId w:val="1"/>
      </w:numPr>
      <w:spacing w:before="240" w:beforeLines="0" w:beforeAutospacing="0" w:after="64" w:afterLines="0" w:afterAutospacing="0" w:line="317" w:lineRule="auto"/>
      <w:ind w:firstLine="402" w:firstLineChars="0"/>
      <w:outlineLvl w:val="6"/>
    </w:pPr>
    <w:rPr>
      <w:b/>
      <w:sz w:val="24"/>
    </w:rPr>
  </w:style>
  <w:style w:type="paragraph" w:styleId="9">
    <w:name w:val="heading 8"/>
    <w:basedOn w:val="1"/>
    <w:next w:val="1"/>
    <w:semiHidden/>
    <w:unhideWhenUsed/>
    <w:qFormat/>
    <w:uiPriority w:val="9"/>
    <w:pPr>
      <w:keepNext/>
      <w:keepLines/>
      <w:numPr>
        <w:ilvl w:val="7"/>
        <w:numId w:val="1"/>
      </w:numPr>
      <w:spacing w:before="240" w:beforeLines="0" w:beforeAutospacing="0" w:after="64" w:afterLines="0" w:afterAutospacing="0" w:line="317" w:lineRule="auto"/>
      <w:ind w:firstLine="402" w:firstLineChars="0"/>
      <w:outlineLvl w:val="7"/>
    </w:pPr>
    <w:rPr>
      <w:rFonts w:ascii="Arial" w:hAnsi="Arial" w:eastAsia="黑体"/>
      <w:sz w:val="24"/>
    </w:rPr>
  </w:style>
  <w:style w:type="paragraph" w:styleId="10">
    <w:name w:val="heading 9"/>
    <w:basedOn w:val="1"/>
    <w:next w:val="1"/>
    <w:semiHidden/>
    <w:unhideWhenUsed/>
    <w:qFormat/>
    <w:uiPriority w:val="9"/>
    <w:pPr>
      <w:keepNext/>
      <w:keepLines/>
      <w:numPr>
        <w:ilvl w:val="8"/>
        <w:numId w:val="1"/>
      </w:numPr>
      <w:spacing w:before="240" w:beforeLines="0" w:beforeAutospacing="0" w:after="64" w:afterLines="0" w:afterAutospacing="0" w:line="317" w:lineRule="auto"/>
      <w:ind w:firstLine="402" w:firstLineChars="0"/>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semiHidden/>
    <w:unhideWhenUsed/>
    <w:qFormat/>
    <w:uiPriority w:val="99"/>
    <w:pPr>
      <w:jc w:val="left"/>
    </w:pPr>
  </w:style>
  <w:style w:type="paragraph" w:styleId="12">
    <w:name w:val="Body Text"/>
    <w:basedOn w:val="1"/>
    <w:next w:val="13"/>
    <w:qFormat/>
    <w:uiPriority w:val="0"/>
    <w:pPr>
      <w:widowControl/>
      <w:spacing w:after="240"/>
      <w:ind w:firstLine="200" w:firstLineChars="200"/>
      <w:jc w:val="left"/>
    </w:pPr>
    <w:rPr>
      <w:kern w:val="0"/>
      <w:sz w:val="24"/>
    </w:rPr>
  </w:style>
  <w:style w:type="paragraph" w:customStyle="1" w:styleId="13">
    <w:name w:val="一级条标题"/>
    <w:basedOn w:val="14"/>
    <w:next w:val="15"/>
    <w:qFormat/>
    <w:uiPriority w:val="99"/>
    <w:pPr>
      <w:numPr>
        <w:ilvl w:val="2"/>
      </w:numPr>
      <w:outlineLvl w:val="2"/>
    </w:pPr>
    <w:rPr>
      <w:rFonts w:ascii="Calibri"/>
    </w:rPr>
  </w:style>
  <w:style w:type="paragraph" w:customStyle="1" w:styleId="14">
    <w:name w:val="章标题"/>
    <w:next w:val="1"/>
    <w:qFormat/>
    <w:uiPriority w:val="99"/>
    <w:pPr>
      <w:numPr>
        <w:ilvl w:val="1"/>
        <w:numId w:val="2"/>
      </w:numPr>
      <w:spacing w:beforeLines="50" w:afterLines="50"/>
      <w:jc w:val="both"/>
      <w:outlineLvl w:val="1"/>
    </w:pPr>
    <w:rPr>
      <w:rFonts w:ascii="黑体" w:hAnsi="Calibri" w:eastAsia="黑体" w:cstheme="minorBidi"/>
      <w:kern w:val="2"/>
      <w:sz w:val="21"/>
      <w:szCs w:val="21"/>
      <w:lang w:val="en-US" w:eastAsia="zh-CN" w:bidi="ar-SA"/>
    </w:rPr>
  </w:style>
  <w:style w:type="paragraph" w:customStyle="1" w:styleId="15">
    <w:name w:val="段"/>
    <w:next w:val="1"/>
    <w:qFormat/>
    <w:uiPriority w:val="0"/>
    <w:pPr>
      <w:autoSpaceDE w:val="0"/>
      <w:autoSpaceDN w:val="0"/>
      <w:ind w:firstLine="200" w:firstLineChars="200"/>
      <w:jc w:val="both"/>
    </w:pPr>
    <w:rPr>
      <w:rFonts w:ascii="宋体" w:cs="宋体" w:hAnsiTheme="minorHAnsi" w:eastAsiaTheme="minorEastAsia"/>
      <w:kern w:val="2"/>
      <w:sz w:val="21"/>
      <w:szCs w:val="21"/>
      <w:lang w:val="en-US" w:eastAsia="zh-CN" w:bidi="ar-SA"/>
    </w:rPr>
  </w:style>
  <w:style w:type="paragraph" w:styleId="16">
    <w:name w:val="Body Text Indent"/>
    <w:basedOn w:val="1"/>
    <w:link w:val="29"/>
    <w:qFormat/>
    <w:uiPriority w:val="0"/>
    <w:pPr>
      <w:spacing w:line="360" w:lineRule="auto"/>
      <w:ind w:left="930" w:leftChars="443" w:firstLine="560" w:firstLineChars="200"/>
    </w:pPr>
    <w:rPr>
      <w:rFonts w:ascii="宋体" w:hAnsi="宋体" w:eastAsia="宋体" w:cs="Times New Roman"/>
      <w:sz w:val="28"/>
      <w:szCs w:val="24"/>
    </w:rPr>
  </w:style>
  <w:style w:type="paragraph" w:styleId="17">
    <w:name w:val="Balloon Text"/>
    <w:basedOn w:val="1"/>
    <w:link w:val="30"/>
    <w:semiHidden/>
    <w:unhideWhenUsed/>
    <w:qFormat/>
    <w:uiPriority w:val="99"/>
    <w:rPr>
      <w:sz w:val="18"/>
      <w:szCs w:val="18"/>
    </w:rPr>
  </w:style>
  <w:style w:type="paragraph" w:styleId="18">
    <w:name w:val="footer"/>
    <w:basedOn w:val="1"/>
    <w:link w:val="28"/>
    <w:unhideWhenUsed/>
    <w:qFormat/>
    <w:uiPriority w:val="99"/>
    <w:pPr>
      <w:tabs>
        <w:tab w:val="center" w:pos="4153"/>
        <w:tab w:val="right" w:pos="8306"/>
      </w:tabs>
      <w:snapToGrid w:val="0"/>
      <w:jc w:val="left"/>
    </w:pPr>
    <w:rPr>
      <w:sz w:val="18"/>
      <w:szCs w:val="18"/>
    </w:rPr>
  </w:style>
  <w:style w:type="paragraph" w:styleId="19">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23">
    <w:name w:val="Strong"/>
    <w:basedOn w:val="22"/>
    <w:qFormat/>
    <w:uiPriority w:val="22"/>
    <w:rPr>
      <w:b/>
      <w:bCs/>
    </w:rPr>
  </w:style>
  <w:style w:type="character" w:styleId="24">
    <w:name w:val="Hyperlink"/>
    <w:basedOn w:val="22"/>
    <w:unhideWhenUsed/>
    <w:qFormat/>
    <w:uiPriority w:val="99"/>
    <w:rPr>
      <w:color w:val="0000FF" w:themeColor="hyperlink"/>
      <w:u w:val="single"/>
      <w14:textFill>
        <w14:solidFill>
          <w14:schemeClr w14:val="hlink"/>
        </w14:solidFill>
      </w14:textFill>
    </w:rPr>
  </w:style>
  <w:style w:type="character" w:styleId="25">
    <w:name w:val="annotation reference"/>
    <w:basedOn w:val="22"/>
    <w:semiHidden/>
    <w:unhideWhenUsed/>
    <w:qFormat/>
    <w:uiPriority w:val="99"/>
    <w:rPr>
      <w:sz w:val="21"/>
      <w:szCs w:val="21"/>
    </w:rPr>
  </w:style>
  <w:style w:type="paragraph" w:styleId="26">
    <w:name w:val="List Paragraph"/>
    <w:basedOn w:val="1"/>
    <w:qFormat/>
    <w:uiPriority w:val="34"/>
    <w:pPr>
      <w:ind w:firstLine="420" w:firstLineChars="200"/>
    </w:pPr>
  </w:style>
  <w:style w:type="character" w:customStyle="1" w:styleId="27">
    <w:name w:val="页眉 字符"/>
    <w:basedOn w:val="22"/>
    <w:link w:val="19"/>
    <w:qFormat/>
    <w:uiPriority w:val="99"/>
    <w:rPr>
      <w:sz w:val="18"/>
      <w:szCs w:val="18"/>
    </w:rPr>
  </w:style>
  <w:style w:type="character" w:customStyle="1" w:styleId="28">
    <w:name w:val="页脚 字符"/>
    <w:basedOn w:val="22"/>
    <w:link w:val="18"/>
    <w:qFormat/>
    <w:uiPriority w:val="99"/>
    <w:rPr>
      <w:sz w:val="18"/>
      <w:szCs w:val="18"/>
    </w:rPr>
  </w:style>
  <w:style w:type="character" w:customStyle="1" w:styleId="29">
    <w:name w:val="正文文本缩进 字符"/>
    <w:basedOn w:val="22"/>
    <w:link w:val="16"/>
    <w:qFormat/>
    <w:uiPriority w:val="0"/>
    <w:rPr>
      <w:rFonts w:ascii="宋体" w:hAnsi="宋体" w:eastAsia="宋体" w:cs="Times New Roman"/>
      <w:sz w:val="28"/>
      <w:szCs w:val="24"/>
    </w:rPr>
  </w:style>
  <w:style w:type="character" w:customStyle="1" w:styleId="30">
    <w:name w:val="批注框文本 字符"/>
    <w:basedOn w:val="22"/>
    <w:link w:val="17"/>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7FD351-C460-40F1-AD4C-613D7CF17107}">
  <ds:schemaRefs/>
</ds:datastoreItem>
</file>

<file path=docProps/app.xml><?xml version="1.0" encoding="utf-8"?>
<Properties xmlns="http://schemas.openxmlformats.org/officeDocument/2006/extended-properties" xmlns:vt="http://schemas.openxmlformats.org/officeDocument/2006/docPropsVTypes">
  <Template>Normal</Template>
  <Pages>13</Pages>
  <Words>7463</Words>
  <Characters>7642</Characters>
  <Lines>2</Lines>
  <Paragraphs>1</Paragraphs>
  <TotalTime>6</TotalTime>
  <ScaleCrop>false</ScaleCrop>
  <LinksUpToDate>false</LinksUpToDate>
  <CharactersWithSpaces>7647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2020-02-14T07:19:00Z</dcterms:created>
  <dc:creator>杨馥嘉</dc:creator>
  <cp:lastModifiedBy>其实不然</cp:lastModifiedBy>
  <cp:lastPrinted>2017-07-12T04:15:00Z</cp:lastPrinted>
  <dcterms:modified xsi:type="dcterms:W3CDTF">2025-11-08T02:12:46Z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070616CC28CB4F03A32D34F03B2C9A8E</vt:lpwstr>
  </property>
  <property fmtid="{D5CDD505-2E9C-101B-9397-08002B2CF9AE}" pid="4" name="KSOTemplateDocerSaveRecord">
    <vt:lpwstr>eyJoZGlkIjoiZTlkYmIwZmFiNTA0NTc1N2Q4NzIwMjY4ZmUwOWYyYTIiLCJ1c2VySWQiOiIyNjE0NTk4NTcifQ==</vt:lpwstr>
  </property>
</Properties>
</file>